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5"/>
          <w:rFonts w:hint="eastAsia" w:ascii="Times New Roman" w:hAnsi="Times New Roman"/>
          <w:sz w:val="32"/>
          <w:szCs w:val="32"/>
        </w:rPr>
      </w:pPr>
      <w:r>
        <w:rPr>
          <w:rStyle w:val="5"/>
          <w:rFonts w:ascii="Times New Roman" w:hAnsi="Times New Roman"/>
          <w:sz w:val="32"/>
          <w:szCs w:val="32"/>
        </w:rPr>
        <w:t>附件2</w:t>
      </w:r>
    </w:p>
    <w:p>
      <w:pPr>
        <w:pStyle w:val="2"/>
        <w:spacing w:before="157" w:beforeLines="50" w:after="157" w:afterLines="50" w:line="700" w:lineRule="exact"/>
        <w:jc w:val="center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bidi="ar"/>
        </w:rPr>
        <w:t>长沙市芙蓉区承接部分市级行政许可事项目录</w:t>
      </w:r>
      <w:bookmarkStart w:id="0" w:name="_GoBack"/>
      <w:bookmarkEnd w:id="0"/>
    </w:p>
    <w:tbl>
      <w:tblPr>
        <w:tblStyle w:val="3"/>
        <w:tblW w:w="143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400"/>
        <w:gridCol w:w="1067"/>
        <w:gridCol w:w="2903"/>
        <w:gridCol w:w="1067"/>
        <w:gridCol w:w="1413"/>
        <w:gridCol w:w="1530"/>
        <w:gridCol w:w="2766"/>
        <w:gridCol w:w="699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  <w:t>市级主管部门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  <w:t>事项名称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  <w:t>设定和实施依据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  <w:t>下放方式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  <w:t>下放范围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  <w:t>下放后监管主体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  <w:t>事中事后监管措施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18"/>
                <w:szCs w:val="18"/>
                <w:lang w:bidi="ar"/>
              </w:rPr>
              <w:t>承接部门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市生态环境局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排污许可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《中华人民共和国环境保护法》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《中华人民共和国水污染防治法》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《中华人民共和国大气污染防治法》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《中华人民共和国固体废物污染环境防治法》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《中华人民共和国土壤污染防治法》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《排污许可管理条例》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委托下放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园区管委会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市生态环境执法局；区县（市）和园区执法部门；法律法规和“三定”规定明确的其他监管责任主体。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按照“谁审批、谁监管，谁主管、谁监管”的原则，加强事中事后监管。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隆平高科技园管委会（受市生态环境局委托实施）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道路旅客运输站经营许可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《中华人民共和国道路运输条例》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直接下放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芙蓉区、天心区、开福区、雨花区人民政府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芙蓉区、天心区、开福区、雨花区交通运输局;法律法规和“三定”规定明确的其他监管责任主体。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1．按照“谁审批、谁监管，谁主管、谁监管”的原则，加强事中事后监管。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2．按照“双随机、一公开”方式，对下放后的许可，进行抽查监督。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3．接受服务对象投诉，发现问题及时采取措施，并依法依规进行纠正和惩处。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市级不再实施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区行政审批服务局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市农业农村局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兽药经营许可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《兽药管理条例》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直接下放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区县（市）人民政府（补充授权）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区县（市）农业农村局；法律法规和“三定”规定明确的其他监管责任主体。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1．进行相关法律法规宣传，开展业务指导。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2．开展定期检查和不定期抽查。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市级不再实施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区行政审批服务局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市林业局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在风景名胜区内从事建设、设置广告、举办大型游乐活动以及其他影响生态和景观活动许可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《风景名胜区条例》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直接下放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芙蓉区、天心区、开福区、雨花区人民政府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芙蓉区、天心区、开福区、雨花区林业部门，法律法规和“三定”规定明确的其他监管责任主体。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1．加强政策宣传、业务指导、信息共享。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2．开展定期检查和不定期抽查，强化事中事后监管，切实做到放管结合。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3．适时对调整实施事项进行评估，施行效果不好的，及时按照法定程序收回相关许可权限。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区行政审批服务局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市林业局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工商企业等社会资本通过流转取得林地经营权审批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《中华人民共和国农村土地承包法》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直接下放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芙蓉区、天心区、开福区、雨花区人民政府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芙蓉区、天心区、开福区、雨花区人民政府牵头，林业部门具体负责，法律法规和“三定”规定明确的其他监管责任主体。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1．加强政策宣传、业务指导、信息共享。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2．开展定期检查和不定期抽查，强化事中事后监管，切实做到放管结合。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3．适时对调整实施事项进行评估，施行效果不好的，及时按照法定程序收回相关许可权限。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区行政审批服务局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市市场监管局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特种设备使用登记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《中华人民共和国特种设备安全法》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《特种设备安全监察条例》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直接下放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芙蓉区、天心区、开福区、雨花区人民政府（补充授权）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芙蓉区、天心区、开福区、雨花区市场监管局；法律法规和“三定”规定明确的其他监管责任主体。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1．按照“双随机、一公开”方式，对下放后的许可，进行抽查督查。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2．组织、指导全市特种设备监管部门开展特种设备相关专项整治。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区行政审批服务局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市市场监管局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药品零售企业经营许可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《中华人民共和国药品管理法》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《中华人民共和国药品管理法实施条例》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委托下放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区县（市）人民政府（补充授权）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区县（市）市场监管局；法律法规和“三定”规定明确的其他监管责任主体。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1．按照“双随机、一公开”方式，对下放后的许可，进行抽查督查,飞行检查。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2．组织、指导全市药品监管部门开展药品零售企业相关专项整治。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区行政审批服务局（受市市场监管局委托实施）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市人防办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拆除人民防空工程审批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《中华人民共和国人民防空法》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直接下放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区县（市）人民政府（补充授权）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区县（市）人防办；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法律法规和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三定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规定明确的其他监管责任主体。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1. 加强政策宣传和业务指导。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2．各区拆除、报废人防工程审批后，报送数据到市人防办；需要补建的，书面告知市人防办在新项目审批中把关。各区改造人防工程竣工资料、图纸报市人防办备案、存档。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3．按照“双随机、一公开”方式，对下放后的许可进行抽查督查。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市级不再实施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区行政审批服务局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MjBkNTZiYzk1YzNlMzc3N2Y4ZDNkYjRjYjliOTcifQ=="/>
  </w:docVars>
  <w:rsids>
    <w:rsidRoot w:val="40C147E1"/>
    <w:rsid w:val="40C147E1"/>
    <w:rsid w:val="45E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jc w:val="left"/>
    </w:pPr>
    <w:rPr>
      <w:rFonts w:ascii="Calibri" w:hAnsi="Calibri" w:eastAsia="宋体" w:cs="Times New Roman"/>
      <w:spacing w:val="2"/>
      <w:sz w:val="28"/>
      <w:szCs w:val="28"/>
    </w:rPr>
  </w:style>
  <w:style w:type="character" w:customStyle="1" w:styleId="5">
    <w:name w:val="font141"/>
    <w:basedOn w:val="4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1653</Words>
  <Characters>1654</Characters>
  <Lines>0</Lines>
  <Paragraphs>0</Paragraphs>
  <TotalTime>0</TotalTime>
  <ScaleCrop>false</ScaleCrop>
  <LinksUpToDate>false</LinksUpToDate>
  <CharactersWithSpaces>1655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2022-10-31T07:04:00Z</dcterms:created>
  <dc:creator>founder</dc:creator>
  <cp:lastModifiedBy>founder</cp:lastModifiedBy>
  <dcterms:modified xsi:type="dcterms:W3CDTF">2022-10-31T07:45:09Z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5D24E3CD0DA94CF18335C6835C37D12E</vt:lpwstr>
  </property>
</Properties>
</file>