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480" w:lineRule="auto"/>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2020年度东岸街道部门整体支出绩效评价</w:t>
      </w:r>
    </w:p>
    <w:p>
      <w:pPr>
        <w:spacing w:beforeLines="100" w:line="480" w:lineRule="auto"/>
        <w:jc w:val="center"/>
        <w:rPr>
          <w:rFonts w:asciiTheme="majorEastAsia" w:hAnsiTheme="majorEastAsia" w:eastAsiaTheme="majorEastAsia"/>
          <w:b/>
          <w:kern w:val="0"/>
          <w:sz w:val="32"/>
          <w:szCs w:val="32"/>
        </w:rPr>
      </w:pPr>
      <w:r>
        <w:rPr>
          <w:rFonts w:hint="eastAsia" w:asciiTheme="majorEastAsia" w:hAnsiTheme="majorEastAsia" w:eastAsiaTheme="majorEastAsia"/>
          <w:b/>
          <w:sz w:val="44"/>
          <w:szCs w:val="44"/>
        </w:rPr>
        <w:t>报  告</w:t>
      </w:r>
    </w:p>
    <w:p>
      <w:pPr>
        <w:spacing w:line="480" w:lineRule="auto"/>
        <w:ind w:firstLine="552" w:firstLineChars="250"/>
        <w:rPr>
          <w:rFonts w:asciiTheme="minorEastAsia" w:hAnsiTheme="minorEastAsia" w:eastAsiaTheme="minorEastAsia"/>
          <w:b/>
          <w:kern w:val="0"/>
          <w:sz w:val="22"/>
          <w:szCs w:val="32"/>
        </w:rPr>
      </w:pPr>
      <w:r>
        <w:rPr>
          <w:rFonts w:hint="eastAsia" w:asciiTheme="minorEastAsia" w:hAnsiTheme="minorEastAsia" w:eastAsiaTheme="minorEastAsia"/>
          <w:b/>
          <w:kern w:val="0"/>
          <w:sz w:val="22"/>
          <w:szCs w:val="32"/>
        </w:rPr>
        <w:t>一、部门概况</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（一）部门基本情况</w:t>
      </w:r>
    </w:p>
    <w:p>
      <w:pPr>
        <w:spacing w:line="480" w:lineRule="auto"/>
        <w:ind w:firstLine="550" w:firstLineChars="250"/>
        <w:rPr>
          <w:rFonts w:cs="楷体_GB2312" w:asciiTheme="minorEastAsia" w:hAnsiTheme="minorEastAsia" w:eastAsiaTheme="minorEastAsia"/>
          <w:bCs/>
          <w:sz w:val="22"/>
          <w:szCs w:val="32"/>
        </w:rPr>
      </w:pPr>
      <w:r>
        <w:rPr>
          <w:rFonts w:hint="eastAsia" w:asciiTheme="minorEastAsia" w:hAnsiTheme="minorEastAsia" w:eastAsiaTheme="minorEastAsia"/>
          <w:sz w:val="22"/>
          <w:szCs w:val="32"/>
        </w:rPr>
        <w:t>1、主要</w:t>
      </w:r>
      <w:r>
        <w:rPr>
          <w:rFonts w:hint="eastAsia" w:cs="楷体_GB2312" w:asciiTheme="minorEastAsia" w:hAnsiTheme="minorEastAsia" w:eastAsiaTheme="minorEastAsia"/>
          <w:bCs/>
          <w:sz w:val="22"/>
          <w:szCs w:val="32"/>
        </w:rPr>
        <w:t>职能</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（1）、贯彻执行党的路线、方针、政策和国家、地方法规；落实区委、区政府各项指示和决定；抓好辖区的社会主义精神文明建设。</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（2）、以经济建设为中心，大力发展街道经济，提高社区服务能力。</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（3）、指导、协调和帮助社区搞好基层组织建设。</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（4）、抓好辖区的社会治安综合治理。</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（5）、抓好计划生育、义务教育扫盲工作。</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（6）、配合有关部门做好城建、城管工作，管理好居民小区、街道的环境卫生、美化、绿化工作。</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（7）、配合民政等部门做好辖区的民政工作、拥军优属、优抚和社会救济、社会福利等工作。</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（8）、协助有关部门做好辖区的民兵预备役工作和科普工作。</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（9）、完成区委、区政府交办的其他工作。</w:t>
      </w:r>
    </w:p>
    <w:p>
      <w:pPr>
        <w:spacing w:line="480" w:lineRule="auto"/>
        <w:ind w:firstLine="440" w:firstLineChars="200"/>
        <w:rPr>
          <w:rFonts w:ascii="宋体" w:hAnsi="宋体" w:cs="楷体_GB2312"/>
          <w:bCs/>
          <w:color w:val="000000" w:themeColor="text1"/>
          <w:sz w:val="22"/>
          <w:szCs w:val="22"/>
        </w:rPr>
      </w:pPr>
      <w:r>
        <w:rPr>
          <w:rFonts w:hint="eastAsia" w:ascii="宋体" w:hAnsi="宋体" w:cs="楷体_GB2312"/>
          <w:bCs/>
          <w:color w:val="000000" w:themeColor="text1"/>
          <w:sz w:val="22"/>
          <w:szCs w:val="22"/>
        </w:rPr>
        <w:t>2、机构设置</w:t>
      </w:r>
    </w:p>
    <w:p>
      <w:pPr>
        <w:spacing w:line="480" w:lineRule="auto"/>
        <w:ind w:firstLine="330" w:firstLineChars="150"/>
        <w:rPr>
          <w:rFonts w:ascii="宋体" w:hAnsi="宋体" w:cs="楷体_GB2312"/>
          <w:bCs/>
          <w:color w:val="000000" w:themeColor="text1"/>
          <w:sz w:val="22"/>
          <w:szCs w:val="22"/>
        </w:rPr>
      </w:pPr>
      <w:r>
        <w:rPr>
          <w:rFonts w:hint="eastAsia" w:ascii="宋体" w:hAnsi="宋体" w:cs="楷体_GB2312"/>
          <w:bCs/>
          <w:color w:val="000000" w:themeColor="text1"/>
          <w:sz w:val="22"/>
          <w:szCs w:val="22"/>
        </w:rPr>
        <w:t xml:space="preserve"> 根据编办核定，我街道包括机关本级，内设科室6个，分别是党政综合办、基层党建办、城市管理办、公共服务办公共安全办财政所；3个二级机构，分别是街道政务服务中心、街道网格化综合服务中心和退役军人服务站；7个基层群众性自治组织，分别是东瑞社区、东宜社区、望龙社区、黄泥塘社区、隆平公园社区、东屯村和杉木村。</w:t>
      </w:r>
    </w:p>
    <w:p>
      <w:pPr>
        <w:adjustRightInd w:val="0"/>
        <w:snapToGrid w:val="0"/>
        <w:spacing w:line="480" w:lineRule="auto"/>
        <w:ind w:firstLine="440" w:firstLineChars="200"/>
        <w:rPr>
          <w:rFonts w:cs="楷体_GB2312" w:asciiTheme="minorEastAsia" w:hAnsiTheme="minorEastAsia" w:eastAsiaTheme="minorEastAsia"/>
          <w:bCs/>
          <w:sz w:val="22"/>
          <w:szCs w:val="32"/>
        </w:rPr>
      </w:pPr>
      <w:r>
        <w:rPr>
          <w:rFonts w:hint="eastAsia" w:cs="楷体_GB2312" w:asciiTheme="minorEastAsia" w:hAnsiTheme="minorEastAsia" w:eastAsiaTheme="minorEastAsia"/>
          <w:bCs/>
          <w:sz w:val="22"/>
          <w:szCs w:val="32"/>
        </w:rPr>
        <w:t>3、人员情况</w:t>
      </w:r>
    </w:p>
    <w:p>
      <w:pPr>
        <w:adjustRightInd w:val="0"/>
        <w:snapToGrid w:val="0"/>
        <w:spacing w:line="480" w:lineRule="auto"/>
        <w:ind w:firstLine="440" w:firstLineChars="200"/>
        <w:rPr>
          <w:rFonts w:cs="楷体_GB2312" w:asciiTheme="minorEastAsia" w:hAnsiTheme="minorEastAsia" w:eastAsiaTheme="minorEastAsia"/>
          <w:bCs/>
          <w:sz w:val="22"/>
          <w:szCs w:val="32"/>
        </w:rPr>
      </w:pPr>
      <w:r>
        <w:rPr>
          <w:rFonts w:hint="eastAsia" w:cs="楷体_GB2312" w:asciiTheme="minorEastAsia" w:hAnsiTheme="minorEastAsia" w:eastAsiaTheme="minorEastAsia"/>
          <w:bCs/>
          <w:sz w:val="22"/>
          <w:szCs w:val="32"/>
        </w:rPr>
        <w:t>截</w:t>
      </w:r>
      <w:r>
        <w:rPr>
          <w:rFonts w:hint="eastAsia" w:cs="楷体_GB2312" w:asciiTheme="minorEastAsia" w:hAnsiTheme="minorEastAsia" w:eastAsiaTheme="minorEastAsia"/>
          <w:bCs/>
          <w:sz w:val="22"/>
          <w:szCs w:val="32"/>
          <w:lang w:eastAsia="zh-CN"/>
        </w:rPr>
        <w:t>至</w:t>
      </w:r>
      <w:r>
        <w:rPr>
          <w:rFonts w:hint="eastAsia" w:cs="楷体_GB2312" w:asciiTheme="minorEastAsia" w:hAnsiTheme="minorEastAsia" w:eastAsiaTheme="minorEastAsia"/>
          <w:bCs/>
          <w:sz w:val="22"/>
          <w:szCs w:val="32"/>
        </w:rPr>
        <w:t>2020年12月31日街道实际人数210人，包括行政编17人、事业编35人、政府雇员5人、军转士官和及其他7</w:t>
      </w:r>
      <w:bookmarkStart w:id="0" w:name="_GoBack"/>
      <w:bookmarkEnd w:id="0"/>
      <w:r>
        <w:rPr>
          <w:rFonts w:hint="eastAsia" w:cs="楷体_GB2312" w:asciiTheme="minorEastAsia" w:hAnsiTheme="minorEastAsia" w:eastAsiaTheme="minorEastAsia"/>
          <w:bCs/>
          <w:sz w:val="22"/>
          <w:szCs w:val="32"/>
        </w:rPr>
        <w:t>人、集体干部5人、公益性岗位108人、其他临聘人员25人、遗属8人。</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4、重点工作计划</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常态化保持疫情防控，深入开展“大干一百天、实现在双过半”竞赛活动；落实优化营商环境各项举措，发挥街道企业服务中心、东岸商会职能作用，不断增强辖区整体经济实力；抓好辖区内安全生产工作，确保社会局面稳定；搞好惠民事业统筹发展，提升群众获得感和满意度；加快推进拆迁项目的进度。</w:t>
      </w:r>
    </w:p>
    <w:p>
      <w:pPr>
        <w:spacing w:line="480" w:lineRule="auto"/>
        <w:ind w:firstLine="330" w:firstLineChars="150"/>
        <w:rPr>
          <w:rFonts w:asciiTheme="minorEastAsia" w:hAnsiTheme="minorEastAsia" w:eastAsiaTheme="minorEastAsia"/>
          <w:sz w:val="22"/>
          <w:szCs w:val="32"/>
        </w:rPr>
      </w:pPr>
      <w:r>
        <w:rPr>
          <w:rFonts w:hint="eastAsia" w:asciiTheme="minorEastAsia" w:hAnsiTheme="minorEastAsia" w:eastAsiaTheme="minorEastAsia"/>
          <w:sz w:val="22"/>
          <w:szCs w:val="32"/>
        </w:rPr>
        <w:t>（二）部门年度预算收支余情况、部门整体支出使用方向和主要内容、涉及范围等。</w:t>
      </w:r>
    </w:p>
    <w:p>
      <w:pPr>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我街道2020年年初预算批复5412.65万元，全年实际到位指标10122.40万元；实际支出10866.37万元，其中基本支出2003万元、项目支出8863.37万元；上年结转结余2588.02万元，本年结转结余1844.05万元。</w:t>
      </w:r>
    </w:p>
    <w:p>
      <w:pPr>
        <w:spacing w:line="480" w:lineRule="auto"/>
        <w:ind w:firstLine="552" w:firstLineChars="250"/>
        <w:rPr>
          <w:rFonts w:asciiTheme="minorEastAsia" w:hAnsiTheme="minorEastAsia" w:eastAsiaTheme="minorEastAsia"/>
          <w:b/>
          <w:kern w:val="0"/>
          <w:sz w:val="22"/>
          <w:szCs w:val="32"/>
        </w:rPr>
      </w:pPr>
      <w:r>
        <w:rPr>
          <w:rFonts w:hint="eastAsia" w:asciiTheme="minorEastAsia" w:hAnsiTheme="minorEastAsia" w:eastAsiaTheme="minorEastAsia"/>
          <w:b/>
          <w:kern w:val="0"/>
          <w:sz w:val="22"/>
          <w:szCs w:val="32"/>
        </w:rPr>
        <w:t>二、部门整体支出管理及使用情况</w:t>
      </w:r>
    </w:p>
    <w:p>
      <w:pPr>
        <w:adjustRightInd w:val="0"/>
        <w:snapToGrid w:val="0"/>
        <w:spacing w:line="480" w:lineRule="auto"/>
        <w:ind w:firstLine="442" w:firstLineChars="200"/>
        <w:rPr>
          <w:rFonts w:asciiTheme="minorEastAsia" w:hAnsiTheme="minorEastAsia" w:eastAsiaTheme="minorEastAsia"/>
          <w:b/>
          <w:sz w:val="22"/>
          <w:szCs w:val="32"/>
        </w:rPr>
      </w:pPr>
      <w:r>
        <w:rPr>
          <w:rFonts w:hint="eastAsia" w:asciiTheme="minorEastAsia" w:hAnsiTheme="minorEastAsia" w:eastAsiaTheme="minorEastAsia"/>
          <w:b/>
          <w:sz w:val="22"/>
          <w:szCs w:val="32"/>
        </w:rPr>
        <w:t>（一）基本支出</w:t>
      </w:r>
    </w:p>
    <w:p>
      <w:pPr>
        <w:adjustRightInd w:val="0"/>
        <w:snapToGrid w:val="0"/>
        <w:spacing w:line="480" w:lineRule="auto"/>
        <w:ind w:firstLine="550" w:firstLineChars="250"/>
        <w:rPr>
          <w:rFonts w:asciiTheme="minorEastAsia" w:hAnsiTheme="minorEastAsia" w:eastAsiaTheme="minorEastAsia"/>
          <w:sz w:val="22"/>
          <w:szCs w:val="32"/>
        </w:rPr>
      </w:pPr>
      <w:r>
        <w:rPr>
          <w:rFonts w:hint="eastAsia" w:asciiTheme="minorEastAsia" w:hAnsiTheme="minorEastAsia" w:eastAsiaTheme="minorEastAsia"/>
          <w:sz w:val="22"/>
          <w:szCs w:val="32"/>
        </w:rPr>
        <w:t>1.基本支出是指为保障单位机构正常运转、完成日常工作任务而发生的各项支出，包括人员工资福利支出、商品服务支出、对个人和家庭的补助支出以及其他支出等。我街道2020年基本支出数为2003万元，其中人员工资福利支出1710.54万元、商品服务支出115.58万元、对个人和家庭的补助支出176.88万元。</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2、“三公”经费使用情况</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2020年度“三公”经费财政拨款支出预算为2万元，支出决算数为0万元，其中因公出国（境）费支出预算、决算均为0万元；公务用车购置及运行费支出预算、决算均为0万元；公务接待费支出预算为2万元，决算数为0万元。2020年“三公”经费支出决算数小于预算数的主要原因：认真贯彻落实中央八项规定精神和厉行节约要求，进一步从严控制“三公”经费开支。</w:t>
      </w:r>
    </w:p>
    <w:p>
      <w:pPr>
        <w:adjustRightInd w:val="0"/>
        <w:snapToGrid w:val="0"/>
        <w:spacing w:line="480" w:lineRule="auto"/>
        <w:ind w:firstLine="331" w:firstLineChars="150"/>
        <w:rPr>
          <w:rFonts w:asciiTheme="minorEastAsia" w:hAnsiTheme="minorEastAsia" w:eastAsiaTheme="minorEastAsia"/>
          <w:b/>
          <w:sz w:val="22"/>
          <w:szCs w:val="32"/>
        </w:rPr>
      </w:pPr>
      <w:r>
        <w:rPr>
          <w:rFonts w:hint="eastAsia" w:asciiTheme="minorEastAsia" w:hAnsiTheme="minorEastAsia" w:eastAsiaTheme="minorEastAsia"/>
          <w:b/>
          <w:sz w:val="22"/>
          <w:szCs w:val="32"/>
        </w:rPr>
        <w:t>（二）项目支出</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1、项目资金安排落实、总投入等情况。</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项目资金是指单位为完成特定行政工作任务或事业发展目标而发生的支出。按照上级文件的相关规定，包括有关事项发展专项、专项业务费、基本建设支出、专用设备采购等。2020年年初共设12个项目经费，安排资金3483.02万元，所有项目经费都是专款专用，项目具体明细如下：</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（1）、东宜社区失地农民就业培训，年初预算安排10万元，主要是用于东宜社区开展失地农民劳动技能培训和就业帮扶工作；</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（2）、社区工作经费（含教育经费），年初预算安排75万元，主要用于确保5个社区本年度正常运转及各项工作的顺利开展。</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3）、环卫所经费，年初预算安排701.17万元，主要用于维护辖区市容环境卫生干净、整洁；清理清扫转运主次干道的垃圾堆物；维护公共设施（厕所、垃圾站、路面牌等）正常运转，提高辖区居民居住舒适感、幸福感；</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（4）、社区工会经费，年初预算13.86万元，主要是用于向员额制人员发放工会节日物资，提高会员福利待遇。</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（5）、村直通车经费，年初预算安排20万元，主要是用于杉木村和东屯村直通车项目支出；</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（6）、村级组织服务群众专项经费，年初预算安排10万元，主要用于杉木村和东屯村开展好服务村民工作；</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（7）、村经费（含党建经费），年初预算安排110万元，主要用于杉木村和东屯村维持日常运转、搞好党建宣传和党员活动等支出；</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（8）、社区党建经费，年初预算安排50万元，主要用于5个社区搞好党建宣传工作及开展党员活动；</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（9）、社区惠民资金，年初预算安排100万元，主要用于5个社区开展好年内惠民项目支出；</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（10）、社区员额制人员工资奖励经费，年初预算安排572.99万元，主要用于街道政务中心和5个社区员额人员工资福利支出；</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（11）、综合项目经费，年初预算安排200万元，主要是用于街道党建、人大、政协、公安、安全生产、工青妇等条线工作的开展；</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（12）、综合预算，年初预算1620万元，主要是用于街道和各村、社区国有资产出租返还、拆迁项目经费以及城投公司主抓的工程建设款。</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2、项目资金实际使用情况分析。</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2020年街道项目资金实际支出总额为8863.37万元，其中预算内项目支出5151.98万元，占比58.13%，其他资金项目支出3711.39万元，占比41.87%。涉及到各村、社区的项目资金，根据区财政年初预算安排，已按时、足额下拨，街道定期检查社区资金使用情况，严格按区专项经费使用制度加强管理与落实。项目资金实际使用情况如下：</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sz w:val="22"/>
          <w:szCs w:val="32"/>
        </w:rPr>
        <w:t>人口普查及其它统计事务42.18万元；资产移交城投过户税费及财税工作奖励675.04万元；拥军优抚7.17万元；综治奖励经费1万元；下拨东宜社区文化站建设2.5万元；新冠防疫经费268.06万元；下拨望龙、黄泥塘社区文明创建经费30万元；街道税收分成等123.10万元；河长制工作经费92.57万元；区民政局春节慰问和五帮扶经费20.75万元；下拨隆平公园、东宜社区城管考核奖励经费6万元；综治维稳奖励经费1万元；安全生产和食品安全经费13.97万元；企业财源扶持和奖励经费23万元；区人大经费2万元；城投公司主抓的建设工程款535.13万元；环卫所经费749.47万元；综合项目经费168.77万元；惠民资金100万元；社区工作经费（含教育经费）71.25万元；村级工作经费（含党建）104.5万元；村直通车经费19万元；村级组织服务群众专项经费9.5万元；城管中队工作经费13.8万元；社区员额人员工资奖励经费596.9万元；社区戒毒工作经费8.75万元；综合预算经费1290.33万元；社区党建经费50万元；社区工会</w:t>
      </w:r>
      <w:r>
        <w:rPr>
          <w:rFonts w:hint="eastAsia" w:asciiTheme="minorEastAsia" w:hAnsiTheme="minorEastAsia" w:eastAsiaTheme="minorEastAsia"/>
          <w:color w:val="000000" w:themeColor="text1"/>
          <w:sz w:val="22"/>
          <w:szCs w:val="32"/>
        </w:rPr>
        <w:t>经费13.86万元；垃圾分类42.38万元；其他项目资金（含雄天还财政借款、其他工程款、非税综合支出和销户款等）3781.39万元。</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3、项目资金管理情况分析。</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我街道根据各级财务制度规定，结合本单位实际，明确了人员分工及岗位职责，建立健全机关管理制度，实行制度管人、管事、管权。进一步完善街道财务管理制度，并制定了《东岸街道财务管理办法》、《东岸街道专项资金管理办法》、《东岸街道环卫所工作职责》、《东岸街道环卫所清扫员绩效考核办法》等，经常开展财务制度学习，积极参加上级组织的财务制度培训，与时俱进，学以致用，不断提高财务人员的综合素质。</w:t>
      </w:r>
    </w:p>
    <w:p>
      <w:pPr>
        <w:spacing w:line="480" w:lineRule="auto"/>
        <w:ind w:firstLine="552" w:firstLineChars="250"/>
        <w:rPr>
          <w:rFonts w:asciiTheme="minorEastAsia" w:hAnsiTheme="minorEastAsia" w:eastAsiaTheme="minorEastAsia"/>
          <w:b/>
          <w:color w:val="000000" w:themeColor="text1"/>
          <w:kern w:val="0"/>
          <w:sz w:val="22"/>
          <w:szCs w:val="32"/>
        </w:rPr>
      </w:pPr>
      <w:r>
        <w:rPr>
          <w:rFonts w:hint="eastAsia" w:asciiTheme="minorEastAsia" w:hAnsiTheme="minorEastAsia" w:eastAsiaTheme="minorEastAsia"/>
          <w:b/>
          <w:color w:val="000000" w:themeColor="text1"/>
          <w:kern w:val="0"/>
          <w:sz w:val="22"/>
          <w:szCs w:val="32"/>
        </w:rPr>
        <w:t>三、部门项目组织实施情况</w:t>
      </w:r>
    </w:p>
    <w:p>
      <w:pPr>
        <w:adjustRightInd w:val="0"/>
        <w:snapToGrid w:val="0"/>
        <w:spacing w:line="480" w:lineRule="auto"/>
        <w:ind w:firstLine="440" w:firstLineChars="200"/>
        <w:jc w:val="left"/>
        <w:rPr>
          <w:rFonts w:cs="仿宋_GB2312" w:asciiTheme="minorEastAsia" w:hAnsiTheme="minorEastAsia" w:eastAsiaTheme="minorEastAsia"/>
          <w:color w:val="000000" w:themeColor="text1"/>
          <w:sz w:val="22"/>
          <w:szCs w:val="22"/>
        </w:rPr>
      </w:pPr>
      <w:r>
        <w:rPr>
          <w:rFonts w:hint="eastAsia" w:cs="仿宋_GB2312" w:asciiTheme="minorEastAsia" w:hAnsiTheme="minorEastAsia" w:eastAsiaTheme="minorEastAsia"/>
          <w:color w:val="000000" w:themeColor="text1"/>
          <w:sz w:val="22"/>
          <w:szCs w:val="22"/>
        </w:rPr>
        <w:t>我街道建立健全项目建设工作的领导、组织机构，项目建设工作由党政会议集体研究决定，由分管领导具体负责实施。项目招投标严格按照招投标管理办法进行公开招投标，实行公开、公平竞争。财政资金管理遵循专用原则，严格按照批准的项目预算执行，并按照合同约定和工程价款结算程序支付工程款。对已具备竣工验收条件的项目，及时组织验收、移交使用，及时编报竣工财务决算。同时加强对项目的监督管理，采取事前、事中、事后相结合，日常监督和专项监督相结合的方式，对项目财务行为实施全过程监督管理。</w:t>
      </w:r>
    </w:p>
    <w:p>
      <w:pPr>
        <w:adjustRightInd w:val="0"/>
        <w:snapToGrid w:val="0"/>
        <w:spacing w:line="480" w:lineRule="auto"/>
        <w:ind w:firstLine="552" w:firstLineChars="250"/>
        <w:rPr>
          <w:rFonts w:asciiTheme="minorEastAsia" w:hAnsiTheme="minorEastAsia" w:eastAsiaTheme="minorEastAsia"/>
          <w:b/>
          <w:color w:val="000000" w:themeColor="text1"/>
          <w:sz w:val="22"/>
          <w:szCs w:val="32"/>
        </w:rPr>
      </w:pPr>
      <w:r>
        <w:rPr>
          <w:rFonts w:hint="eastAsia" w:asciiTheme="minorEastAsia" w:hAnsiTheme="minorEastAsia" w:eastAsiaTheme="minorEastAsia"/>
          <w:b/>
          <w:color w:val="000000" w:themeColor="text1"/>
          <w:sz w:val="22"/>
          <w:szCs w:val="32"/>
        </w:rPr>
        <w:t>四、资产管理情况</w:t>
      </w:r>
    </w:p>
    <w:p>
      <w:pPr>
        <w:adjustRightInd w:val="0"/>
        <w:snapToGrid w:val="0"/>
        <w:spacing w:line="480" w:lineRule="auto"/>
        <w:ind w:firstLine="550" w:firstLineChars="25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根据上级关于资产的管理要求，我街道结合单位实际，设立了专门的资产管理员岗位，各办公室也确定了资产管理员，明确了工作职责；从资产预算、采购、入账、使用、调拨、处置一系列流程都制定了严格的办法；不定期对所属资产进行清查，每月按时计提资产折旧，有效的提高了街道资产使用效率和综合管理水平。</w:t>
      </w:r>
    </w:p>
    <w:p>
      <w:pPr>
        <w:adjustRightInd w:val="0"/>
        <w:snapToGrid w:val="0"/>
        <w:spacing w:line="480" w:lineRule="auto"/>
        <w:ind w:firstLine="442" w:firstLineChars="200"/>
        <w:rPr>
          <w:rFonts w:asciiTheme="minorEastAsia" w:hAnsiTheme="minorEastAsia" w:eastAsiaTheme="minorEastAsia"/>
          <w:b/>
          <w:color w:val="000000" w:themeColor="text1"/>
          <w:sz w:val="22"/>
          <w:szCs w:val="32"/>
        </w:rPr>
      </w:pPr>
      <w:r>
        <w:rPr>
          <w:rFonts w:hint="eastAsia" w:asciiTheme="minorEastAsia" w:hAnsiTheme="minorEastAsia" w:eastAsiaTheme="minorEastAsia"/>
          <w:b/>
          <w:color w:val="000000" w:themeColor="text1"/>
          <w:sz w:val="22"/>
          <w:szCs w:val="32"/>
        </w:rPr>
        <w:t>五、部门整体支出绩效情况</w:t>
      </w:r>
    </w:p>
    <w:p>
      <w:pPr>
        <w:adjustRightInd w:val="0"/>
        <w:snapToGrid w:val="0"/>
        <w:spacing w:line="480" w:lineRule="auto"/>
        <w:ind w:firstLine="440" w:firstLineChars="200"/>
        <w:rPr>
          <w:rFonts w:asciiTheme="minorEastAsia" w:hAnsiTheme="minorEastAsia" w:eastAsiaTheme="minorEastAsia"/>
          <w:sz w:val="22"/>
          <w:szCs w:val="32"/>
        </w:rPr>
      </w:pPr>
      <w:r>
        <w:rPr>
          <w:rFonts w:hint="eastAsia" w:asciiTheme="minorEastAsia" w:hAnsiTheme="minorEastAsia" w:eastAsiaTheme="minorEastAsia"/>
          <w:sz w:val="22"/>
          <w:szCs w:val="32"/>
        </w:rPr>
        <w:t>2020年以来，我街道根据年初工作规划和重点性工作，围绕两型社会的构建，全面建成小康社会的发展宏图，积极履职、强化管理较好的完成了年度工作目标。通过加强预算收支管理，不断建立健全内部管理制度，部门整体支出绩效得到了很大的提升。部门整体支出绩效情况如下：</w:t>
      </w:r>
    </w:p>
    <w:p>
      <w:pPr>
        <w:pStyle w:val="9"/>
        <w:numPr>
          <w:ilvl w:val="0"/>
          <w:numId w:val="1"/>
        </w:numPr>
        <w:adjustRightInd w:val="0"/>
        <w:snapToGrid w:val="0"/>
        <w:spacing w:line="480" w:lineRule="auto"/>
        <w:ind w:firstLineChars="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经济性方面</w:t>
      </w:r>
    </w:p>
    <w:p>
      <w:pPr>
        <w:adjustRightInd w:val="0"/>
        <w:snapToGrid w:val="0"/>
        <w:spacing w:line="480" w:lineRule="auto"/>
        <w:ind w:firstLine="550" w:firstLineChars="250"/>
        <w:jc w:val="left"/>
      </w:pPr>
      <w:r>
        <w:rPr>
          <w:rFonts w:hint="eastAsia" w:asciiTheme="minorEastAsia" w:hAnsiTheme="minorEastAsia" w:eastAsiaTheme="minorEastAsia"/>
          <w:sz w:val="22"/>
          <w:szCs w:val="32"/>
        </w:rPr>
        <w:t>2020年我街道严格控制预算支出，不断强化资金管理，提高资金的使用效率，严格</w:t>
      </w:r>
      <w:r>
        <w:rPr>
          <w:rFonts w:hint="eastAsia" w:asciiTheme="minorEastAsia" w:hAnsiTheme="minorEastAsia" w:eastAsiaTheme="minorEastAsia"/>
          <w:sz w:val="22"/>
          <w:szCs w:val="22"/>
        </w:rPr>
        <w:t>执行了预决算公开；本年对各村、社区资金的拨付均已及时进行了下拨或完成预算指标文件的下达，不存在截留或滞留专项资金情况；街道充分节约使用经费，基本支出较好的控制在预算范围</w:t>
      </w:r>
      <w:r>
        <w:rPr>
          <w:rFonts w:hint="eastAsia"/>
          <w:sz w:val="22"/>
          <w:szCs w:val="22"/>
        </w:rPr>
        <w:t>内，人员及办公经费严格按标准支出；“三公经费”使用控制较好。</w:t>
      </w:r>
    </w:p>
    <w:p>
      <w:pPr>
        <w:pStyle w:val="9"/>
        <w:numPr>
          <w:ilvl w:val="0"/>
          <w:numId w:val="1"/>
        </w:numPr>
        <w:adjustRightInd w:val="0"/>
        <w:snapToGrid w:val="0"/>
        <w:spacing w:line="480" w:lineRule="auto"/>
        <w:ind w:firstLineChars="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效率性方面</w:t>
      </w:r>
    </w:p>
    <w:p>
      <w:pPr>
        <w:spacing w:line="480" w:lineRule="auto"/>
        <w:ind w:firstLine="550" w:firstLineChars="250"/>
        <w:rPr>
          <w:rFonts w:asciiTheme="minorEastAsia" w:hAnsiTheme="minorEastAsia" w:eastAsiaTheme="minorEastAsia"/>
          <w:sz w:val="22"/>
          <w:szCs w:val="22"/>
        </w:rPr>
      </w:pPr>
      <w:r>
        <w:rPr>
          <w:rFonts w:hint="eastAsia" w:asciiTheme="minorEastAsia" w:hAnsiTheme="minorEastAsia" w:eastAsiaTheme="minorEastAsia"/>
          <w:sz w:val="22"/>
          <w:szCs w:val="22"/>
        </w:rPr>
        <w:t>经济发展在克难攻坚中争创新绩。经济指标逆势上扬。截</w:t>
      </w:r>
      <w:r>
        <w:rPr>
          <w:rFonts w:hint="eastAsia" w:asciiTheme="minorEastAsia" w:hAnsiTheme="minorEastAsia" w:eastAsiaTheme="minorEastAsia"/>
          <w:sz w:val="22"/>
          <w:szCs w:val="22"/>
          <w:lang w:eastAsia="zh-CN"/>
        </w:rPr>
        <w:t>至</w:t>
      </w:r>
      <w:r>
        <w:rPr>
          <w:rFonts w:hint="eastAsia" w:asciiTheme="minorEastAsia" w:hAnsiTheme="minorEastAsia" w:eastAsiaTheme="minorEastAsia"/>
          <w:sz w:val="22"/>
          <w:szCs w:val="22"/>
        </w:rPr>
        <w:t>12月底，完成区级财税达1.6亿元，超年度任务19%；1-12月固投实现59.44亿元，同比增长23.45%，超年度任务18%。财税、固投均排名全区第一。限上批发增速5.73%，限上零售增速18.83%，新增年度零售业3家；规营服务业累计增速19.03%，完成年度考核任务；新增1家外贸进出口企业，各项经济指标均排名靠前。“大干一百天，实现双过半”竞赛活动排名街道组第三、全区第四。营商环境不断优化。政务窗口办结商事登记等1055件，“12345”满意度保持100%。倡议瑞祥陶瓷、东岸建材为租户减租近100万元，把“好服务”转化为营商发展“新能量”。项目建设全面发力。</w:t>
      </w:r>
    </w:p>
    <w:p>
      <w:pPr>
        <w:spacing w:line="48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党的建设在深度融合中示范引领。党建引领结出硕果。街道建成新时代文明实践所，挂牌成立“基层党校”，开展3期“万名党员进党校”培训，评选“学习之星”“学习标兵”30名，形成比学赶超的良好氛围。获区“学习新思想 迈向新征程”知识抢答赛第二名。武装部在全市星级达标考核中被评为“五星级”。东宜社区被列为党建引领社区治理体系现代化建设试点单位，社区“宜家人爱心助学志愿服务队”获评“长沙市最美五老红志愿服务组织”，居民廖学获评“湖南好人”。东宜社区、东屯村、东岸建材党组织获评区“红旗党组织”，其中东宜社区连续三年获评。“三风活动”带出新风。连续4年的“正党风淳民风树新风”系列活动成效显著，党风政风持续好转带来诸多新气象。拆迁拆出新速度。相继启动杉木城中村改造和远大路改扩及桃园路两个难度巨大的项目。将任务最为艰巨的杉木城中村改造项目定为“一年一件事”，在三个月时间内夜以继日持续攻坚，征拆房屋505户，按期清零，并完成土地招拍挂。全年腾地近千亩，且无遗留问题，创造了历年拆迁速度和效率之最。换届换出新风气。利用换届契机，调优配强干部队伍，3名社区主职调整岗位、3名公认的优秀临聘人员充实到社区。7个社区（村）均顺利完成党组织换届，“一肩挑”落到实处，基层党组织凝聚力和战斗力显著增强。特别是望龙换届选举中，通过前期扎实的准备工作，得到了群众史无前例的支持配合，顺利完成支委换届，居委换届正稳步推进。意识形态导航定向。高度重视意识形态工作，与中心工作同部署、同落实。重点做好涉拆群体、重点信访人员舆情应对转化。处置风险隐患20起，上报舆情信息3485条，举报有害信息2512条。街道工作在人民日报、央广网、学习强国等媒体报道934篇，其中，央媒36篇、省媒297篇、市媒179篇、区级媒体332篇，反映了街道工作实绩，掌握了正面发声主动权。</w:t>
      </w:r>
    </w:p>
    <w:p>
      <w:pPr>
        <w:spacing w:line="48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民生事业在统筹推进中持续进步。服务保障注入新能量。街道新建政务服务中心，挂牌成立东瑞社区，东雅中学、育英三小建设顺利，“一门式”服务实现全覆盖。成立东屯村、隆平公园社区经济合作社，居民可共享集体经济红利。开展五期创业就业培训班，培训居民群众210人次。发放五帮扶专项资金19万元，累计帮扶87人。街道农民工工作代表全区接受国家级检查，获得国务院检查组领导好评。黄泥塘社区被评为“长沙市老年教育基地”。东瑞社区综合文化服务中心和居家养老服务中心完成建设并通过验收，成功创建区级优秀示范性综合文化服务中心，接受央视《我要上春晚》栏目组采访。民主政治和民宗事务增添新作为。民族宗教工作“三级网络两级责任制”，取得良好效果。信教群众自觉守法，无私设聚点。克服低温雨雪，于凌晨三点顺利拆除杉木村大观园，并将佛像安全转运至娄底新化，为杉木城改二期腾地奠定坚实基础。人大代表、政协委员积极建言献策、同心抗疫，捐献抗疫物资近万元。办理政协提案1件，办复率100%。</w:t>
      </w:r>
    </w:p>
    <w:p>
      <w:pPr>
        <w:pStyle w:val="9"/>
        <w:numPr>
          <w:ilvl w:val="0"/>
          <w:numId w:val="1"/>
        </w:numPr>
        <w:adjustRightInd w:val="0"/>
        <w:snapToGrid w:val="0"/>
        <w:spacing w:line="480" w:lineRule="auto"/>
        <w:ind w:firstLineChars="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有效性方面</w:t>
      </w:r>
    </w:p>
    <w:p>
      <w:pPr>
        <w:adjustRightInd w:val="0"/>
        <w:snapToGrid w:val="0"/>
        <w:spacing w:line="48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城市品质在“四精五有”中显著提升。空气质量明显改善。建筑工地巡查管控成为常态，查处“八个百分百”落实不到位问题40处，书面交办9处，约谈责任单位3家，处罚1家。清退国Ⅲ以下排放标准机械30台，辖区非道路移动机械基本实现达标排放。铁腕整治“散乱污”企业，清退、取缔东大门皮革市场鞋制品加工企业30家，实现行业淘汰目标。辖区空气质量优良天数、PM2.5均值浓度、臭氧浓度等指标明显优于去年。市容管理日趋精细。开展违规招牌、广告及户外灯箱整治行动40余次，校园周边整治行动6次，处理城市管理问题7500余条，辖区店外经营、违规招牌、流动摊贩及乱堆乱放等现象明显好转。建设浏阳河“示范河流”并通过中央、省水利厅、河长办验收评估和全市年终考核。空置地块管控到位。处罚拆迁空地渣土乱倒行为80起，罚款22万元。落实倒房报备及湿法作业制度，控制在拆项目扬尘污染，拆迁区域“脏乱差”现象明显改善。覆盖、复绿拆迁空地40万平方米。城市管理三、四季度考核中，分获第四，第三的好成绩。</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sz w:val="22"/>
          <w:szCs w:val="22"/>
        </w:rPr>
        <w:t>疫情防控在团结一心中彰显力量，疫情发生以来，在区领导、区卫健局统筹指挥下，街道全体干部党员连续3个多月连轴转，500多名党员志愿者下沉一线投入防控，全街无一例本地确诊病例。与街道社区卫生服务中心一道全力以赴做好定点隔离酒店（佳里酒店），选址、人员铺排、物资准备、机制建立工作。从无到有，一路摸索，坚守70天，接待300多名高风险地区往来人员和外籍人员，做到隔离对象零感染，在全区疫情防控主战场发挥了主力军作用。以东瑞社区疫情防控为素材编写的情景剧《同心抗疫》，在区纪委“清风芙蓉”廉洁文化品牌启动仪式演出获高度称赞。</w:t>
      </w:r>
    </w:p>
    <w:p>
      <w:pPr>
        <w:pStyle w:val="9"/>
        <w:numPr>
          <w:ilvl w:val="0"/>
          <w:numId w:val="1"/>
        </w:numPr>
        <w:spacing w:line="480" w:lineRule="auto"/>
        <w:ind w:firstLineChars="0"/>
        <w:rPr>
          <w:rFonts w:asciiTheme="minorEastAsia" w:hAnsiTheme="minorEastAsia" w:eastAsiaTheme="minorEastAsia"/>
          <w:color w:val="000000" w:themeColor="text1"/>
          <w:sz w:val="22"/>
          <w:szCs w:val="22"/>
        </w:rPr>
      </w:pPr>
      <w:r>
        <w:rPr>
          <w:rFonts w:hint="eastAsia" w:asciiTheme="minorEastAsia" w:hAnsiTheme="minorEastAsia" w:eastAsiaTheme="minorEastAsia"/>
          <w:color w:val="000000" w:themeColor="text1"/>
          <w:sz w:val="22"/>
          <w:szCs w:val="22"/>
        </w:rPr>
        <w:t>可持续性方面</w:t>
      </w:r>
    </w:p>
    <w:p>
      <w:pPr>
        <w:spacing w:line="480" w:lineRule="auto"/>
        <w:ind w:firstLine="550" w:firstLineChars="250"/>
        <w:rPr>
          <w:rFonts w:asciiTheme="minorEastAsia" w:hAnsiTheme="minorEastAsia" w:eastAsiaTheme="minorEastAsia"/>
          <w:sz w:val="22"/>
          <w:szCs w:val="22"/>
        </w:rPr>
      </w:pPr>
      <w:r>
        <w:rPr>
          <w:rFonts w:hint="eastAsia" w:asciiTheme="minorEastAsia" w:hAnsiTheme="minorEastAsia" w:eastAsiaTheme="minorEastAsia"/>
          <w:sz w:val="22"/>
          <w:szCs w:val="22"/>
        </w:rPr>
        <w:t>辖区佳兆业滨江四季、芙蓉星城、地铁六号线、东雅中学、金茂建发观悦、南益名仕豪庭、旺德府万象时代、望龙路跨河大桥等在建20个政府类、社会类重点投资项目有序推进。</w:t>
      </w:r>
    </w:p>
    <w:p>
      <w:pPr>
        <w:spacing w:line="480" w:lineRule="auto"/>
        <w:ind w:firstLine="440" w:firstLineChars="200"/>
        <w:rPr>
          <w:rFonts w:asciiTheme="minorEastAsia" w:hAnsiTheme="minorEastAsia" w:eastAsiaTheme="minorEastAsia"/>
          <w:sz w:val="22"/>
          <w:szCs w:val="22"/>
        </w:rPr>
      </w:pPr>
      <w:r>
        <w:rPr>
          <w:rFonts w:hint="eastAsia" w:asciiTheme="minorEastAsia" w:hAnsiTheme="minorEastAsia" w:eastAsiaTheme="minorEastAsia"/>
          <w:sz w:val="22"/>
          <w:szCs w:val="22"/>
        </w:rPr>
        <w:t>加大产业扶持，增强造血功能。合理规划未开发地块谋划总部基地。利用杉木村18-1等商业地块，结合望龙路跨河大桥、浏阳河风光带区位交通景观等优势，在土地招拍挂过程中，参照12号地块引进企业总部入驻的方式，开发建设成较高标准的商业综合体项目，打造一个持续供血的经济增长点。充分利用在建商业项目打造商业中心。制定一楼一策，优化招商方式，充分利用双地铁口、紧邻机场、高铁站等优势，将中交6号商业、龙湖天街、旺德府.万象时代以及东云大厦打造成商业中心。</w:t>
      </w:r>
    </w:p>
    <w:p>
      <w:pPr>
        <w:adjustRightInd w:val="0"/>
        <w:snapToGrid w:val="0"/>
        <w:spacing w:line="480" w:lineRule="auto"/>
        <w:ind w:firstLine="442" w:firstLineChars="200"/>
        <w:rPr>
          <w:rFonts w:asciiTheme="minorEastAsia" w:hAnsiTheme="minorEastAsia" w:eastAsiaTheme="minorEastAsia"/>
          <w:b/>
          <w:color w:val="000000" w:themeColor="text1"/>
          <w:sz w:val="22"/>
          <w:szCs w:val="32"/>
        </w:rPr>
      </w:pPr>
      <w:r>
        <w:rPr>
          <w:rFonts w:hint="eastAsia" w:asciiTheme="minorEastAsia" w:hAnsiTheme="minorEastAsia" w:eastAsiaTheme="minorEastAsia"/>
          <w:b/>
          <w:color w:val="000000" w:themeColor="text1"/>
          <w:sz w:val="22"/>
          <w:szCs w:val="32"/>
        </w:rPr>
        <w:t>六、主要经验做法、存在的主要问题及原因</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建立健全内部控制制度，形成系统的内部财务管理制度，平时加强对专项资金的监督与管理，按工作要求加快专项资金下达及使用进度，切实发挥好资金的使用效益。</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街道自2012年由东岸乡人民政府变更为东岸街道办事处以来，历史遗留问题较多，历史遗留的账目也比较复杂，有些资金的来龙去脉跨越数年，这些原因对街道财务管理产生了一定的影响，不便于精细化的预决算管理和分析评价。</w:t>
      </w:r>
    </w:p>
    <w:p>
      <w:pPr>
        <w:adjustRightInd w:val="0"/>
        <w:snapToGrid w:val="0"/>
        <w:spacing w:line="480" w:lineRule="auto"/>
        <w:ind w:firstLine="442" w:firstLineChars="200"/>
        <w:rPr>
          <w:rFonts w:asciiTheme="minorEastAsia" w:hAnsiTheme="minorEastAsia" w:eastAsiaTheme="minorEastAsia"/>
          <w:b/>
          <w:color w:val="000000" w:themeColor="text1"/>
          <w:sz w:val="22"/>
          <w:szCs w:val="32"/>
        </w:rPr>
      </w:pPr>
      <w:r>
        <w:rPr>
          <w:rFonts w:hint="eastAsia" w:asciiTheme="minorEastAsia" w:hAnsiTheme="minorEastAsia" w:eastAsiaTheme="minorEastAsia"/>
          <w:b/>
          <w:color w:val="000000" w:themeColor="text1"/>
          <w:sz w:val="22"/>
          <w:szCs w:val="32"/>
        </w:rPr>
        <w:t>七、有关建议</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1、建议上级对一些政策性文件进行通俗的讲解和分析，给基层财务带来切实可靠的操作指导性。</w:t>
      </w:r>
    </w:p>
    <w:p>
      <w:pPr>
        <w:adjustRightInd w:val="0"/>
        <w:snapToGrid w:val="0"/>
        <w:spacing w:line="480" w:lineRule="auto"/>
        <w:ind w:firstLine="440" w:firstLineChars="200"/>
        <w:rPr>
          <w:rFonts w:asciiTheme="minorEastAsia" w:hAnsiTheme="minorEastAsia" w:eastAsiaTheme="minorEastAsia"/>
          <w:color w:val="000000" w:themeColor="text1"/>
          <w:sz w:val="22"/>
          <w:szCs w:val="32"/>
        </w:rPr>
      </w:pPr>
      <w:r>
        <w:rPr>
          <w:rFonts w:hint="eastAsia" w:asciiTheme="minorEastAsia" w:hAnsiTheme="minorEastAsia" w:eastAsiaTheme="minorEastAsia"/>
          <w:color w:val="000000" w:themeColor="text1"/>
          <w:sz w:val="22"/>
          <w:szCs w:val="32"/>
        </w:rPr>
        <w:t>2、建议多组织基层财务人员的各种培训，全面提高基层财务人员综合素质。</w:t>
      </w:r>
      <w:r>
        <w:rPr>
          <w:rFonts w:hint="eastAsia" w:cs="宋体" w:asciiTheme="minorEastAsia" w:hAnsiTheme="minorEastAsia" w:eastAsiaTheme="minorEastAsia"/>
          <w:color w:val="000000" w:themeColor="text1"/>
          <w:kern w:val="0"/>
          <w:sz w:val="22"/>
          <w:szCs w:val="32"/>
        </w:rPr>
        <w:t xml:space="preserve">                                      </w:t>
      </w:r>
    </w:p>
    <w:p>
      <w:pPr>
        <w:wordWrap w:val="0"/>
        <w:adjustRightInd w:val="0"/>
        <w:snapToGrid w:val="0"/>
        <w:spacing w:line="480" w:lineRule="auto"/>
        <w:ind w:firstLine="4620" w:firstLineChars="2100"/>
        <w:jc w:val="left"/>
        <w:rPr>
          <w:rFonts w:cs="宋体" w:asciiTheme="minorEastAsia" w:hAnsiTheme="minorEastAsia" w:eastAsiaTheme="minorEastAsia"/>
          <w:color w:val="000000" w:themeColor="text1"/>
          <w:kern w:val="0"/>
          <w:sz w:val="22"/>
          <w:szCs w:val="32"/>
        </w:rPr>
      </w:pPr>
    </w:p>
    <w:p>
      <w:pPr>
        <w:wordWrap w:val="0"/>
        <w:adjustRightInd w:val="0"/>
        <w:snapToGrid w:val="0"/>
        <w:spacing w:line="480" w:lineRule="auto"/>
        <w:ind w:firstLine="4620" w:firstLineChars="2100"/>
        <w:jc w:val="left"/>
        <w:rPr>
          <w:rFonts w:cs="宋体" w:asciiTheme="minorEastAsia" w:hAnsiTheme="minorEastAsia" w:eastAsiaTheme="minorEastAsia"/>
          <w:color w:val="000000" w:themeColor="text1"/>
          <w:kern w:val="0"/>
          <w:sz w:val="22"/>
          <w:szCs w:val="32"/>
        </w:rPr>
      </w:pPr>
    </w:p>
    <w:p>
      <w:pPr>
        <w:wordWrap w:val="0"/>
        <w:adjustRightInd w:val="0"/>
        <w:snapToGrid w:val="0"/>
        <w:spacing w:line="480" w:lineRule="auto"/>
        <w:ind w:firstLine="4620" w:firstLineChars="2100"/>
        <w:jc w:val="left"/>
        <w:rPr>
          <w:rFonts w:cs="宋体" w:asciiTheme="minorEastAsia" w:hAnsiTheme="minorEastAsia" w:eastAsiaTheme="minorEastAsia"/>
          <w:color w:val="000000" w:themeColor="text1"/>
          <w:kern w:val="0"/>
          <w:sz w:val="22"/>
          <w:szCs w:val="32"/>
        </w:rPr>
      </w:pPr>
      <w:r>
        <w:rPr>
          <w:rFonts w:hint="eastAsia" w:cs="宋体" w:asciiTheme="minorEastAsia" w:hAnsiTheme="minorEastAsia" w:eastAsiaTheme="minorEastAsia"/>
          <w:color w:val="000000" w:themeColor="text1"/>
          <w:kern w:val="0"/>
          <w:sz w:val="22"/>
          <w:szCs w:val="32"/>
        </w:rPr>
        <w:t>填报单位：东岸街道办事处</w:t>
      </w:r>
    </w:p>
    <w:p>
      <w:pPr>
        <w:adjustRightInd w:val="0"/>
        <w:snapToGrid w:val="0"/>
        <w:spacing w:line="480" w:lineRule="auto"/>
        <w:ind w:firstLine="440" w:firstLineChars="200"/>
        <w:jc w:val="left"/>
        <w:rPr>
          <w:rFonts w:cs="宋体" w:asciiTheme="minorEastAsia" w:hAnsiTheme="minorEastAsia" w:eastAsiaTheme="minorEastAsia"/>
          <w:color w:val="FF0000"/>
          <w:kern w:val="0"/>
          <w:sz w:val="22"/>
          <w:szCs w:val="32"/>
        </w:rPr>
      </w:pPr>
      <w:r>
        <w:rPr>
          <w:rFonts w:hint="eastAsia" w:cs="宋体" w:asciiTheme="minorEastAsia" w:hAnsiTheme="minorEastAsia" w:eastAsiaTheme="minorEastAsia"/>
          <w:color w:val="000000" w:themeColor="text1"/>
          <w:kern w:val="0"/>
          <w:sz w:val="22"/>
          <w:szCs w:val="32"/>
        </w:rPr>
        <w:t xml:space="preserve">                                      日    期：2021年4月23日  </w:t>
      </w:r>
      <w:r>
        <w:rPr>
          <w:rFonts w:hint="eastAsia" w:cs="宋体" w:asciiTheme="minorEastAsia" w:hAnsiTheme="minorEastAsia" w:eastAsiaTheme="minorEastAsia"/>
          <w:color w:val="FF0000"/>
          <w:kern w:val="0"/>
          <w:sz w:val="2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331D9B"/>
    <w:multiLevelType w:val="multilevel"/>
    <w:tmpl w:val="6C331D9B"/>
    <w:lvl w:ilvl="0" w:tentative="0">
      <w:start w:val="1"/>
      <w:numFmt w:val="decimal"/>
      <w:lvlText w:val="%1、"/>
      <w:lvlJc w:val="left"/>
      <w:pPr>
        <w:ind w:left="910" w:hanging="360"/>
      </w:pPr>
      <w:rPr>
        <w:rFonts w:hint="default"/>
        <w:color w:val="auto"/>
      </w:rPr>
    </w:lvl>
    <w:lvl w:ilvl="1" w:tentative="0">
      <w:start w:val="1"/>
      <w:numFmt w:val="lowerLetter"/>
      <w:lvlText w:val="%2)"/>
      <w:lvlJc w:val="left"/>
      <w:pPr>
        <w:ind w:left="1390" w:hanging="420"/>
      </w:pPr>
    </w:lvl>
    <w:lvl w:ilvl="2" w:tentative="0">
      <w:start w:val="1"/>
      <w:numFmt w:val="lowerRoman"/>
      <w:lvlText w:val="%3."/>
      <w:lvlJc w:val="right"/>
      <w:pPr>
        <w:ind w:left="1810" w:hanging="420"/>
      </w:pPr>
    </w:lvl>
    <w:lvl w:ilvl="3" w:tentative="0">
      <w:start w:val="1"/>
      <w:numFmt w:val="decimal"/>
      <w:lvlText w:val="%4."/>
      <w:lvlJc w:val="left"/>
      <w:pPr>
        <w:ind w:left="2230" w:hanging="420"/>
      </w:pPr>
    </w:lvl>
    <w:lvl w:ilvl="4" w:tentative="0">
      <w:start w:val="1"/>
      <w:numFmt w:val="lowerLetter"/>
      <w:lvlText w:val="%5)"/>
      <w:lvlJc w:val="left"/>
      <w:pPr>
        <w:ind w:left="2650" w:hanging="420"/>
      </w:pPr>
    </w:lvl>
    <w:lvl w:ilvl="5" w:tentative="0">
      <w:start w:val="1"/>
      <w:numFmt w:val="lowerRoman"/>
      <w:lvlText w:val="%6."/>
      <w:lvlJc w:val="right"/>
      <w:pPr>
        <w:ind w:left="3070" w:hanging="420"/>
      </w:pPr>
    </w:lvl>
    <w:lvl w:ilvl="6" w:tentative="0">
      <w:start w:val="1"/>
      <w:numFmt w:val="decimal"/>
      <w:lvlText w:val="%7."/>
      <w:lvlJc w:val="left"/>
      <w:pPr>
        <w:ind w:left="3490" w:hanging="420"/>
      </w:pPr>
    </w:lvl>
    <w:lvl w:ilvl="7" w:tentative="0">
      <w:start w:val="1"/>
      <w:numFmt w:val="lowerLetter"/>
      <w:lvlText w:val="%8)"/>
      <w:lvlJc w:val="left"/>
      <w:pPr>
        <w:ind w:left="3910" w:hanging="420"/>
      </w:pPr>
    </w:lvl>
    <w:lvl w:ilvl="8" w:tentative="0">
      <w:start w:val="1"/>
      <w:numFmt w:val="lowerRoman"/>
      <w:lvlText w:val="%9."/>
      <w:lvlJc w:val="right"/>
      <w:pPr>
        <w:ind w:left="43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0D52"/>
    <w:rsid w:val="000106A9"/>
    <w:rsid w:val="000125BD"/>
    <w:rsid w:val="000230EE"/>
    <w:rsid w:val="00032B55"/>
    <w:rsid w:val="00034904"/>
    <w:rsid w:val="000366D9"/>
    <w:rsid w:val="000C3205"/>
    <w:rsid w:val="000D6D67"/>
    <w:rsid w:val="000D7797"/>
    <w:rsid w:val="000E7ADB"/>
    <w:rsid w:val="00100789"/>
    <w:rsid w:val="001118B4"/>
    <w:rsid w:val="00120497"/>
    <w:rsid w:val="00122732"/>
    <w:rsid w:val="00184B62"/>
    <w:rsid w:val="001A780C"/>
    <w:rsid w:val="001D2DB5"/>
    <w:rsid w:val="001F4961"/>
    <w:rsid w:val="001F589C"/>
    <w:rsid w:val="00204A60"/>
    <w:rsid w:val="00206A1C"/>
    <w:rsid w:val="0023183A"/>
    <w:rsid w:val="00231D22"/>
    <w:rsid w:val="002325A5"/>
    <w:rsid w:val="00232AEB"/>
    <w:rsid w:val="002358B1"/>
    <w:rsid w:val="0025122E"/>
    <w:rsid w:val="00255E65"/>
    <w:rsid w:val="00263F5D"/>
    <w:rsid w:val="002662BF"/>
    <w:rsid w:val="002770A9"/>
    <w:rsid w:val="00282A3A"/>
    <w:rsid w:val="00287E5C"/>
    <w:rsid w:val="002A001E"/>
    <w:rsid w:val="002B0E37"/>
    <w:rsid w:val="002B2756"/>
    <w:rsid w:val="002B4B5C"/>
    <w:rsid w:val="002B799A"/>
    <w:rsid w:val="002C4500"/>
    <w:rsid w:val="002D3AB5"/>
    <w:rsid w:val="002E3E71"/>
    <w:rsid w:val="003008F8"/>
    <w:rsid w:val="003047EF"/>
    <w:rsid w:val="00320011"/>
    <w:rsid w:val="00335464"/>
    <w:rsid w:val="00340A5D"/>
    <w:rsid w:val="0036534F"/>
    <w:rsid w:val="003A30B8"/>
    <w:rsid w:val="003A701E"/>
    <w:rsid w:val="003B1DAF"/>
    <w:rsid w:val="003B76AD"/>
    <w:rsid w:val="003C03B5"/>
    <w:rsid w:val="00421E21"/>
    <w:rsid w:val="0044610C"/>
    <w:rsid w:val="00465FD3"/>
    <w:rsid w:val="00476672"/>
    <w:rsid w:val="0049150B"/>
    <w:rsid w:val="004A07DB"/>
    <w:rsid w:val="004A0F52"/>
    <w:rsid w:val="004B354A"/>
    <w:rsid w:val="004D5EFB"/>
    <w:rsid w:val="004F0D85"/>
    <w:rsid w:val="00510E00"/>
    <w:rsid w:val="005212D0"/>
    <w:rsid w:val="00553EFF"/>
    <w:rsid w:val="00567726"/>
    <w:rsid w:val="005A052E"/>
    <w:rsid w:val="005A1024"/>
    <w:rsid w:val="005A5B57"/>
    <w:rsid w:val="005C1B22"/>
    <w:rsid w:val="005C674D"/>
    <w:rsid w:val="005D0491"/>
    <w:rsid w:val="005E0F6B"/>
    <w:rsid w:val="005F0C40"/>
    <w:rsid w:val="0060769C"/>
    <w:rsid w:val="006105C5"/>
    <w:rsid w:val="00613D30"/>
    <w:rsid w:val="00622E07"/>
    <w:rsid w:val="00623A1F"/>
    <w:rsid w:val="00644045"/>
    <w:rsid w:val="0065473C"/>
    <w:rsid w:val="00657E99"/>
    <w:rsid w:val="006608F0"/>
    <w:rsid w:val="00660BE1"/>
    <w:rsid w:val="006646BB"/>
    <w:rsid w:val="00670E18"/>
    <w:rsid w:val="00671476"/>
    <w:rsid w:val="00671FA7"/>
    <w:rsid w:val="00676C44"/>
    <w:rsid w:val="00680DC2"/>
    <w:rsid w:val="00696AB7"/>
    <w:rsid w:val="00697862"/>
    <w:rsid w:val="006A5DC1"/>
    <w:rsid w:val="006A7494"/>
    <w:rsid w:val="006D3C96"/>
    <w:rsid w:val="006E0759"/>
    <w:rsid w:val="00723768"/>
    <w:rsid w:val="00753759"/>
    <w:rsid w:val="00753E6C"/>
    <w:rsid w:val="007604D5"/>
    <w:rsid w:val="00772CAA"/>
    <w:rsid w:val="00780DA9"/>
    <w:rsid w:val="007926FD"/>
    <w:rsid w:val="00797D29"/>
    <w:rsid w:val="007B22E6"/>
    <w:rsid w:val="007B4E93"/>
    <w:rsid w:val="007C455B"/>
    <w:rsid w:val="007D29FB"/>
    <w:rsid w:val="007E28CE"/>
    <w:rsid w:val="007E30B0"/>
    <w:rsid w:val="008028BF"/>
    <w:rsid w:val="00866B1D"/>
    <w:rsid w:val="008C09CE"/>
    <w:rsid w:val="008D1411"/>
    <w:rsid w:val="008D5589"/>
    <w:rsid w:val="008D74C3"/>
    <w:rsid w:val="008D7B3A"/>
    <w:rsid w:val="008E0217"/>
    <w:rsid w:val="008E11E1"/>
    <w:rsid w:val="008E76A2"/>
    <w:rsid w:val="00911EEC"/>
    <w:rsid w:val="00924B95"/>
    <w:rsid w:val="00926C7E"/>
    <w:rsid w:val="00942752"/>
    <w:rsid w:val="0097201D"/>
    <w:rsid w:val="009808E7"/>
    <w:rsid w:val="00981F2B"/>
    <w:rsid w:val="00992D1D"/>
    <w:rsid w:val="00996213"/>
    <w:rsid w:val="009A0C3C"/>
    <w:rsid w:val="009A38E2"/>
    <w:rsid w:val="009B52CA"/>
    <w:rsid w:val="009B731E"/>
    <w:rsid w:val="009C3C85"/>
    <w:rsid w:val="009D6381"/>
    <w:rsid w:val="009F7CC5"/>
    <w:rsid w:val="00A137FE"/>
    <w:rsid w:val="00A31BA9"/>
    <w:rsid w:val="00A9744E"/>
    <w:rsid w:val="00AA357C"/>
    <w:rsid w:val="00AA4604"/>
    <w:rsid w:val="00AA57C7"/>
    <w:rsid w:val="00AC220B"/>
    <w:rsid w:val="00AF73DA"/>
    <w:rsid w:val="00B0263C"/>
    <w:rsid w:val="00B027D8"/>
    <w:rsid w:val="00B143F5"/>
    <w:rsid w:val="00B265FD"/>
    <w:rsid w:val="00B311E0"/>
    <w:rsid w:val="00B36246"/>
    <w:rsid w:val="00B440FF"/>
    <w:rsid w:val="00B50EC9"/>
    <w:rsid w:val="00B57501"/>
    <w:rsid w:val="00BE365F"/>
    <w:rsid w:val="00C145DD"/>
    <w:rsid w:val="00C16C62"/>
    <w:rsid w:val="00C33A02"/>
    <w:rsid w:val="00C5117F"/>
    <w:rsid w:val="00C535FF"/>
    <w:rsid w:val="00C64677"/>
    <w:rsid w:val="00C90D91"/>
    <w:rsid w:val="00C93E96"/>
    <w:rsid w:val="00CB79FE"/>
    <w:rsid w:val="00CD6E0A"/>
    <w:rsid w:val="00CE1B55"/>
    <w:rsid w:val="00CE214E"/>
    <w:rsid w:val="00D13F59"/>
    <w:rsid w:val="00D15A44"/>
    <w:rsid w:val="00D30FC6"/>
    <w:rsid w:val="00D42259"/>
    <w:rsid w:val="00D64240"/>
    <w:rsid w:val="00D72B6C"/>
    <w:rsid w:val="00D82A5D"/>
    <w:rsid w:val="00D91C21"/>
    <w:rsid w:val="00D92AFC"/>
    <w:rsid w:val="00D976C3"/>
    <w:rsid w:val="00DA0241"/>
    <w:rsid w:val="00DA2CBF"/>
    <w:rsid w:val="00DF49CD"/>
    <w:rsid w:val="00DF75DC"/>
    <w:rsid w:val="00E6200A"/>
    <w:rsid w:val="00E77749"/>
    <w:rsid w:val="00EA0D52"/>
    <w:rsid w:val="00EB7AE2"/>
    <w:rsid w:val="00EC07AB"/>
    <w:rsid w:val="00ED7D52"/>
    <w:rsid w:val="00EE6958"/>
    <w:rsid w:val="00EF4C8A"/>
    <w:rsid w:val="00F239B6"/>
    <w:rsid w:val="00F26A31"/>
    <w:rsid w:val="00F63B16"/>
    <w:rsid w:val="00F70C89"/>
    <w:rsid w:val="00F76939"/>
    <w:rsid w:val="00FA34E9"/>
    <w:rsid w:val="00FA6B5E"/>
    <w:rsid w:val="00FB2C96"/>
    <w:rsid w:val="00FB60CB"/>
    <w:rsid w:val="00FF5972"/>
    <w:rsid w:val="1403042D"/>
    <w:rsid w:val="51BA5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23829-7B6F-4B3B-AF4A-0433F91B6B6F}">
  <ds:schemaRefs/>
</ds:datastoreItem>
</file>

<file path=docProps/app.xml><?xml version="1.0" encoding="utf-8"?>
<Properties xmlns="http://schemas.openxmlformats.org/officeDocument/2006/extended-properties" xmlns:vt="http://schemas.openxmlformats.org/officeDocument/2006/docPropsVTypes">
  <Template>Normal</Template>
  <Pages>9</Pages>
  <Words>991</Words>
  <Characters>5654</Characters>
  <Lines>47</Lines>
  <Paragraphs>13</Paragraphs>
  <TotalTime>955</TotalTime>
  <ScaleCrop>false</ScaleCrop>
  <LinksUpToDate>false</LinksUpToDate>
  <CharactersWithSpaces>6632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2020-04-26T02:54:00Z</dcterms:created>
  <dc:creator>admin</dc:creator>
  <cp:lastModifiedBy>李青</cp:lastModifiedBy>
  <cp:lastPrinted>2020-04-30T08:36:00Z</cp:lastPrinted>
  <dcterms:modified xsi:type="dcterms:W3CDTF">2021-10-30T04:02:50Z</dcterms:modified>
  <cp:revision>118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8F47F6FABC00418F83C1FE1D5784C4CA</vt:lpwstr>
  </property>
</Properties>
</file>