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15"/>
          <w:rFonts w:hint="default" w:asciiTheme="minorHAnsi" w:hAnsiTheme="minorHAnsi" w:eastAsiaTheme="minorEastAsia"/>
          <w:b w:val="0"/>
          <w:kern w:val="10"/>
          <w:sz w:val="30"/>
        </w:rPr>
      </w:pPr>
      <w:r>
        <w:rPr>
          <w:rStyle w:val="15"/>
          <w:rFonts w:hint="default" w:asciiTheme="minorHAnsi" w:hAnsiTheme="minorEastAsia" w:eastAsiaTheme="minorEastAsia"/>
          <w:b w:val="0"/>
          <w:kern w:val="10"/>
          <w:sz w:val="30"/>
        </w:rPr>
        <w:t>附件</w:t>
      </w:r>
      <w:r>
        <w:rPr>
          <w:rStyle w:val="15"/>
          <w:rFonts w:hint="default" w:asciiTheme="minorHAnsi" w:hAnsiTheme="minorHAnsi" w:eastAsiaTheme="minorEastAsia"/>
          <w:b w:val="0"/>
          <w:kern w:val="10"/>
          <w:sz w:val="30"/>
        </w:rPr>
        <w:t>4</w:t>
      </w:r>
    </w:p>
    <w:p>
      <w:pPr>
        <w:widowControl/>
        <w:shd w:val="clear" w:color="auto" w:fill="FFFFFF"/>
        <w:jc w:val="center"/>
        <w:rPr>
          <w:rFonts w:asciiTheme="minorHAnsi" w:hAnsiTheme="minorHAnsi" w:eastAsiaTheme="minorEastAsia"/>
          <w:kern w:val="10"/>
          <w:sz w:val="30"/>
          <w:szCs w:val="44"/>
        </w:rPr>
      </w:pPr>
    </w:p>
    <w:p>
      <w:pPr>
        <w:widowControl/>
        <w:shd w:val="clear" w:color="auto" w:fill="FFFFFF"/>
        <w:jc w:val="center"/>
        <w:rPr>
          <w:rFonts w:asciiTheme="minorHAnsi" w:hAnsiTheme="minorHAnsi" w:eastAsiaTheme="minorEastAsia"/>
          <w:b/>
          <w:kern w:val="10"/>
          <w:sz w:val="44"/>
          <w:szCs w:val="44"/>
        </w:rPr>
      </w:pPr>
      <w:r>
        <w:rPr>
          <w:rFonts w:asciiTheme="minorHAnsi" w:hAnsiTheme="minorHAnsi" w:eastAsiaTheme="minorEastAsia"/>
          <w:b/>
          <w:kern w:val="10"/>
          <w:sz w:val="44"/>
          <w:szCs w:val="44"/>
        </w:rPr>
        <w:t>202</w:t>
      </w:r>
      <w:r>
        <w:rPr>
          <w:rFonts w:hint="eastAsia" w:asciiTheme="minorHAnsi" w:hAnsiTheme="minorHAnsi" w:eastAsiaTheme="minorEastAsia"/>
          <w:b/>
          <w:kern w:val="10"/>
          <w:sz w:val="44"/>
          <w:szCs w:val="44"/>
          <w:lang w:val="en-US" w:eastAsia="zh-CN"/>
        </w:rPr>
        <w:t>2</w:t>
      </w:r>
      <w:r>
        <w:rPr>
          <w:rFonts w:asciiTheme="minorHAnsi" w:hAnsiTheme="minorEastAsia" w:eastAsiaTheme="minorEastAsia"/>
          <w:b/>
          <w:kern w:val="10"/>
          <w:sz w:val="44"/>
          <w:szCs w:val="44"/>
        </w:rPr>
        <w:t>年度</w:t>
      </w:r>
      <w:r>
        <w:rPr>
          <w:rFonts w:hint="eastAsia" w:asciiTheme="minorHAnsi" w:hAnsiTheme="minorEastAsia" w:eastAsiaTheme="minorEastAsia"/>
          <w:b/>
          <w:kern w:val="10"/>
          <w:sz w:val="44"/>
          <w:szCs w:val="44"/>
        </w:rPr>
        <w:t>东岸街道</w:t>
      </w:r>
      <w:r>
        <w:rPr>
          <w:rFonts w:asciiTheme="minorHAnsi" w:hAnsiTheme="minorEastAsia" w:eastAsiaTheme="minorEastAsia"/>
          <w:b/>
          <w:kern w:val="10"/>
          <w:sz w:val="44"/>
          <w:szCs w:val="44"/>
        </w:rPr>
        <w:t>部门整体支出绩效自评</w:t>
      </w:r>
    </w:p>
    <w:p>
      <w:pPr>
        <w:widowControl/>
        <w:shd w:val="clear" w:color="auto" w:fill="FFFFFF"/>
        <w:tabs>
          <w:tab w:val="center" w:pos="4153"/>
          <w:tab w:val="left" w:pos="5580"/>
        </w:tabs>
        <w:jc w:val="left"/>
        <w:rPr>
          <w:rFonts w:asciiTheme="minorHAnsi" w:hAnsiTheme="minorHAnsi" w:eastAsiaTheme="minorEastAsia"/>
          <w:b/>
          <w:kern w:val="10"/>
          <w:sz w:val="44"/>
          <w:szCs w:val="44"/>
        </w:rPr>
      </w:pPr>
      <w:r>
        <w:rPr>
          <w:rFonts w:asciiTheme="minorHAnsi" w:hAnsiTheme="minorHAnsi" w:eastAsiaTheme="minorEastAsia"/>
          <w:b/>
          <w:kern w:val="10"/>
          <w:sz w:val="44"/>
          <w:szCs w:val="44"/>
        </w:rPr>
        <w:tab/>
      </w:r>
      <w:r>
        <w:rPr>
          <w:rFonts w:asciiTheme="minorHAnsi" w:hAnsiTheme="minorEastAsia" w:eastAsiaTheme="minorEastAsia"/>
          <w:b/>
          <w:kern w:val="10"/>
          <w:sz w:val="44"/>
          <w:szCs w:val="44"/>
        </w:rPr>
        <w:t>报</w:t>
      </w:r>
      <w:r>
        <w:rPr>
          <w:rFonts w:asciiTheme="minorHAnsi" w:hAnsiTheme="minorHAnsi" w:eastAsiaTheme="minorEastAsia"/>
          <w:b/>
          <w:kern w:val="10"/>
          <w:sz w:val="44"/>
          <w:szCs w:val="44"/>
        </w:rPr>
        <w:t xml:space="preserve">  </w:t>
      </w:r>
      <w:r>
        <w:rPr>
          <w:rFonts w:asciiTheme="minorHAnsi" w:hAnsiTheme="minorEastAsia" w:eastAsiaTheme="minorEastAsia"/>
          <w:b/>
          <w:kern w:val="10"/>
          <w:sz w:val="44"/>
          <w:szCs w:val="44"/>
        </w:rPr>
        <w:t>告</w:t>
      </w:r>
      <w:r>
        <w:rPr>
          <w:rFonts w:asciiTheme="minorHAnsi" w:hAnsiTheme="minorHAnsi" w:eastAsiaTheme="minorEastAsia"/>
          <w:b/>
          <w:kern w:val="10"/>
          <w:sz w:val="44"/>
          <w:szCs w:val="44"/>
        </w:rPr>
        <w:tab/>
      </w:r>
    </w:p>
    <w:p>
      <w:pPr>
        <w:ind w:firstLine="602" w:firstLineChars="200"/>
        <w:rPr>
          <w:rFonts w:asciiTheme="minorHAnsi" w:hAnsiTheme="minorHAnsi" w:eastAsiaTheme="minorEastAsia"/>
          <w:b/>
          <w:kern w:val="10"/>
          <w:sz w:val="30"/>
          <w:szCs w:val="32"/>
        </w:rPr>
      </w:pPr>
      <w:r>
        <w:rPr>
          <w:rFonts w:asciiTheme="minorHAnsi" w:hAnsiTheme="minorEastAsia" w:eastAsiaTheme="minorEastAsia"/>
          <w:b/>
          <w:kern w:val="10"/>
          <w:sz w:val="30"/>
          <w:szCs w:val="32"/>
        </w:rPr>
        <w:t>一、部门概况</w:t>
      </w:r>
    </w:p>
    <w:p>
      <w:pPr>
        <w:ind w:firstLine="602" w:firstLineChars="200"/>
        <w:rPr>
          <w:rFonts w:asciiTheme="minorHAnsi" w:hAnsiTheme="minorHAnsi" w:eastAsiaTheme="minorEastAsia"/>
          <w:b/>
          <w:kern w:val="10"/>
          <w:sz w:val="30"/>
          <w:szCs w:val="32"/>
        </w:rPr>
      </w:pPr>
      <w:r>
        <w:rPr>
          <w:rFonts w:asciiTheme="minorHAnsi" w:hAnsiTheme="minorEastAsia" w:eastAsiaTheme="minorEastAsia"/>
          <w:b/>
          <w:kern w:val="10"/>
          <w:sz w:val="30"/>
          <w:szCs w:val="32"/>
        </w:rPr>
        <w:t>（一）部门基本情况。</w:t>
      </w:r>
    </w:p>
    <w:p>
      <w:pPr>
        <w:pStyle w:val="8"/>
        <w:widowControl/>
        <w:ind w:firstLine="602" w:firstLineChars="200"/>
        <w:outlineLvl w:val="2"/>
        <w:rPr>
          <w:rFonts w:cs="仿宋_GB2312" w:asciiTheme="minorHAnsi" w:hAnsiTheme="minorHAnsi" w:eastAsiaTheme="minorEastAsia"/>
          <w:b/>
          <w:bCs/>
          <w:color w:val="000000"/>
          <w:kern w:val="10"/>
          <w:sz w:val="30"/>
          <w:szCs w:val="30"/>
        </w:rPr>
      </w:pPr>
      <w:r>
        <w:rPr>
          <w:rFonts w:hint="eastAsia" w:cs="仿宋_GB2312" w:asciiTheme="minorHAnsi" w:hAnsiTheme="minorHAnsi" w:eastAsiaTheme="minorEastAsia"/>
          <w:b/>
          <w:bCs/>
          <w:color w:val="000000"/>
          <w:kern w:val="10"/>
          <w:sz w:val="30"/>
          <w:szCs w:val="30"/>
        </w:rPr>
        <w:t>1</w:t>
      </w:r>
      <w:r>
        <w:rPr>
          <w:rFonts w:hint="eastAsia" w:cs="仿宋_GB2312" w:asciiTheme="minorHAnsi" w:hAnsiTheme="minorEastAsia" w:eastAsiaTheme="minorEastAsia"/>
          <w:b/>
          <w:bCs/>
          <w:color w:val="000000"/>
          <w:kern w:val="10"/>
          <w:sz w:val="30"/>
          <w:szCs w:val="30"/>
        </w:rPr>
        <w:t>、职能职责</w:t>
      </w:r>
    </w:p>
    <w:p>
      <w:pPr>
        <w:pStyle w:val="8"/>
        <w:widowControl/>
        <w:ind w:firstLine="600" w:firstLineChars="200"/>
        <w:rPr>
          <w:rFonts w:cs="仿宋_GB2312" w:asciiTheme="minorHAnsi" w:hAnsiTheme="minorHAnsi" w:eastAsiaTheme="minorEastAsia"/>
          <w:color w:val="000000"/>
          <w:kern w:val="10"/>
          <w:sz w:val="30"/>
          <w:szCs w:val="30"/>
        </w:rPr>
      </w:pPr>
      <w:r>
        <w:rPr>
          <w:rFonts w:hint="eastAsia" w:cs="仿宋_GB2312" w:asciiTheme="minorHAnsi" w:hAnsiTheme="minorHAnsi" w:eastAsiaTheme="minorEastAsia"/>
          <w:color w:val="000000"/>
          <w:kern w:val="10"/>
          <w:sz w:val="30"/>
          <w:szCs w:val="30"/>
        </w:rPr>
        <w:t>1</w:t>
      </w:r>
      <w:r>
        <w:rPr>
          <w:rFonts w:hint="eastAsia" w:cs="仿宋_GB2312" w:asciiTheme="minorHAnsi" w:hAnsiTheme="minorEastAsia" w:eastAsiaTheme="minorEastAsia"/>
          <w:color w:val="000000"/>
          <w:kern w:val="10"/>
          <w:sz w:val="30"/>
          <w:szCs w:val="30"/>
        </w:rPr>
        <w:t>）加强党的建设。落实基层党建工作责任制，统筹街道和社区区域化党建，加强非公有制经济组织和社会组织党建工作，实现党的组织和工作全覆盖。不断提高党的建设质量，落实管党治党责任，推动全面从严治党向基层延伸。</w:t>
      </w:r>
    </w:p>
    <w:p>
      <w:pPr>
        <w:ind w:firstLine="600" w:firstLineChars="200"/>
        <w:rPr>
          <w:rFonts w:asciiTheme="minorHAnsi" w:hAnsiTheme="minorHAnsi" w:eastAsiaTheme="minorEastAsia"/>
          <w:kern w:val="10"/>
          <w:sz w:val="30"/>
          <w:szCs w:val="30"/>
        </w:rPr>
      </w:pPr>
      <w:r>
        <w:rPr>
          <w:rFonts w:hint="eastAsia" w:asciiTheme="minorHAnsi" w:hAnsiTheme="minorHAnsi" w:eastAsiaTheme="minorEastAsia"/>
          <w:kern w:val="10"/>
          <w:sz w:val="30"/>
          <w:szCs w:val="30"/>
        </w:rPr>
        <w:t>2</w:t>
      </w:r>
      <w:r>
        <w:rPr>
          <w:rFonts w:hint="eastAsia" w:asciiTheme="minorHAnsi" w:hAnsiTheme="minorEastAsia" w:eastAsiaTheme="minorEastAsia"/>
          <w:kern w:val="10"/>
          <w:sz w:val="30"/>
          <w:szCs w:val="30"/>
        </w:rPr>
        <w:t>）统筹区域发展。统筹落实市、区关于辖区发展的重大决策和建设规划，负责优化发展环境、采集企业信息、服务辖区企业、促进项目发展等工作。</w:t>
      </w:r>
    </w:p>
    <w:p>
      <w:pPr>
        <w:ind w:firstLine="600" w:firstLineChars="200"/>
        <w:rPr>
          <w:rFonts w:asciiTheme="minorHAnsi" w:hAnsiTheme="minorHAnsi" w:eastAsiaTheme="minorEastAsia"/>
          <w:kern w:val="10"/>
          <w:sz w:val="30"/>
          <w:szCs w:val="30"/>
        </w:rPr>
      </w:pPr>
      <w:r>
        <w:rPr>
          <w:rFonts w:hint="eastAsia" w:asciiTheme="minorHAnsi" w:hAnsiTheme="minorHAnsi" w:eastAsiaTheme="minorEastAsia"/>
          <w:kern w:val="10"/>
          <w:sz w:val="30"/>
          <w:szCs w:val="30"/>
        </w:rPr>
        <w:t>3</w:t>
      </w:r>
      <w:r>
        <w:rPr>
          <w:rFonts w:hint="eastAsia" w:asciiTheme="minorHAnsi" w:hAnsiTheme="minorEastAsia" w:eastAsiaTheme="minorEastAsia"/>
          <w:kern w:val="10"/>
          <w:sz w:val="30"/>
          <w:szCs w:val="30"/>
        </w:rPr>
        <w:t>）组织公共服务。组织实施与居民生活密切相关的各项公共服务事项，落实人力资源社会保障、民政、教育、科技、文化、体育、卫生健康等领域相关法规政策。</w:t>
      </w:r>
    </w:p>
    <w:p>
      <w:pPr>
        <w:ind w:firstLine="600" w:firstLineChars="200"/>
        <w:rPr>
          <w:rFonts w:asciiTheme="minorHAnsi" w:hAnsiTheme="minorHAnsi" w:eastAsiaTheme="minorEastAsia"/>
          <w:kern w:val="10"/>
          <w:sz w:val="30"/>
          <w:szCs w:val="30"/>
        </w:rPr>
      </w:pPr>
      <w:r>
        <w:rPr>
          <w:rFonts w:hint="eastAsia" w:asciiTheme="minorHAnsi" w:hAnsiTheme="minorHAnsi" w:eastAsiaTheme="minorEastAsia"/>
          <w:kern w:val="10"/>
          <w:sz w:val="30"/>
          <w:szCs w:val="30"/>
        </w:rPr>
        <w:t>4</w:t>
      </w:r>
      <w:r>
        <w:rPr>
          <w:rFonts w:hint="eastAsia" w:asciiTheme="minorHAnsi" w:hAnsiTheme="minorEastAsia" w:eastAsiaTheme="minorEastAsia"/>
          <w:kern w:val="10"/>
          <w:sz w:val="30"/>
          <w:szCs w:val="30"/>
        </w:rPr>
        <w:t>）实施公共管理。负责辖区内城市管理等综合性管理工作，承担组织领导和综合协调职能。</w:t>
      </w:r>
    </w:p>
    <w:p>
      <w:pPr>
        <w:ind w:firstLine="600" w:firstLineChars="200"/>
        <w:rPr>
          <w:rFonts w:asciiTheme="minorHAnsi" w:hAnsiTheme="minorHAnsi" w:eastAsiaTheme="minorEastAsia"/>
          <w:kern w:val="10"/>
          <w:sz w:val="30"/>
          <w:szCs w:val="30"/>
        </w:rPr>
      </w:pPr>
      <w:r>
        <w:rPr>
          <w:rFonts w:hint="eastAsia" w:asciiTheme="minorHAnsi" w:hAnsiTheme="minorHAnsi" w:eastAsiaTheme="minorEastAsia"/>
          <w:kern w:val="10"/>
          <w:sz w:val="30"/>
          <w:szCs w:val="30"/>
        </w:rPr>
        <w:t>5</w:t>
      </w:r>
      <w:r>
        <w:rPr>
          <w:rFonts w:hint="eastAsia" w:asciiTheme="minorHAnsi" w:hAnsiTheme="minorEastAsia" w:eastAsiaTheme="minorEastAsia"/>
          <w:kern w:val="10"/>
          <w:sz w:val="30"/>
          <w:szCs w:val="30"/>
        </w:rPr>
        <w:t>）维护公共安全。承担辖区内社会治安综合治理、应急管理等有关工作，接待群众来信来访，反映社情民意，化解矛盾纠纷等。</w:t>
      </w:r>
    </w:p>
    <w:p>
      <w:pPr>
        <w:ind w:firstLine="600" w:firstLineChars="200"/>
        <w:rPr>
          <w:rFonts w:asciiTheme="minorHAnsi" w:hAnsiTheme="minorHAnsi" w:eastAsiaTheme="minorEastAsia"/>
          <w:kern w:val="10"/>
          <w:sz w:val="30"/>
          <w:szCs w:val="30"/>
        </w:rPr>
      </w:pPr>
      <w:r>
        <w:rPr>
          <w:rFonts w:hint="eastAsia" w:asciiTheme="minorHAnsi" w:hAnsiTheme="minorHAnsi" w:eastAsiaTheme="minorEastAsia"/>
          <w:kern w:val="10"/>
          <w:sz w:val="30"/>
          <w:szCs w:val="30"/>
        </w:rPr>
        <w:t>6</w:t>
      </w:r>
      <w:r>
        <w:rPr>
          <w:rFonts w:hint="eastAsia" w:asciiTheme="minorHAnsi" w:hAnsiTheme="minorEastAsia" w:eastAsiaTheme="minorEastAsia"/>
          <w:kern w:val="10"/>
          <w:sz w:val="30"/>
          <w:szCs w:val="30"/>
        </w:rPr>
        <w:t>）监督执法管理。对辖区内各类行政执法工作进行统筹协调，组织开展群众监督和社会监督。</w:t>
      </w:r>
    </w:p>
    <w:p>
      <w:pPr>
        <w:ind w:firstLine="600" w:firstLineChars="200"/>
        <w:rPr>
          <w:rFonts w:asciiTheme="minorHAnsi" w:hAnsiTheme="minorHAnsi" w:eastAsiaTheme="minorEastAsia"/>
          <w:kern w:val="10"/>
          <w:sz w:val="30"/>
          <w:szCs w:val="30"/>
        </w:rPr>
      </w:pPr>
      <w:r>
        <w:rPr>
          <w:rFonts w:hint="eastAsia" w:asciiTheme="minorHAnsi" w:hAnsiTheme="minorHAnsi" w:eastAsiaTheme="minorEastAsia"/>
          <w:kern w:val="10"/>
          <w:sz w:val="30"/>
          <w:szCs w:val="30"/>
        </w:rPr>
        <w:t>7</w:t>
      </w:r>
      <w:r>
        <w:rPr>
          <w:rFonts w:hint="eastAsia" w:asciiTheme="minorHAnsi" w:hAnsiTheme="minorEastAsia" w:eastAsiaTheme="minorEastAsia"/>
          <w:kern w:val="10"/>
          <w:sz w:val="30"/>
          <w:szCs w:val="30"/>
        </w:rPr>
        <w:t>）动员社会参与。动员辖区内各类单位、社会组织、社区居民等社会力量参与社会治理，为街道发展服务。</w:t>
      </w:r>
    </w:p>
    <w:p>
      <w:pPr>
        <w:ind w:firstLine="600" w:firstLineChars="200"/>
        <w:rPr>
          <w:rFonts w:asciiTheme="minorHAnsi" w:hAnsiTheme="minorHAnsi" w:eastAsiaTheme="minorEastAsia"/>
          <w:kern w:val="10"/>
          <w:sz w:val="30"/>
          <w:szCs w:val="30"/>
        </w:rPr>
      </w:pPr>
      <w:r>
        <w:rPr>
          <w:rFonts w:hint="eastAsia" w:asciiTheme="minorHAnsi" w:hAnsiTheme="minorHAnsi" w:eastAsiaTheme="minorEastAsia"/>
          <w:kern w:val="10"/>
          <w:sz w:val="30"/>
          <w:szCs w:val="30"/>
        </w:rPr>
        <w:t>8</w:t>
      </w:r>
      <w:r>
        <w:rPr>
          <w:rFonts w:hint="eastAsia" w:asciiTheme="minorHAnsi" w:hAnsiTheme="minorEastAsia" w:eastAsiaTheme="minorEastAsia"/>
          <w:kern w:val="10"/>
          <w:sz w:val="30"/>
          <w:szCs w:val="30"/>
        </w:rPr>
        <w:t>）保障社区自治。指导社区居委会建设，健全社区自治平台，组织驻区单位和社区居民参与社区建设、管理。</w:t>
      </w:r>
    </w:p>
    <w:p>
      <w:pPr>
        <w:ind w:firstLine="600" w:firstLineChars="200"/>
        <w:rPr>
          <w:rFonts w:asciiTheme="minorHAnsi" w:hAnsiTheme="minorHAnsi" w:eastAsiaTheme="minorEastAsia"/>
          <w:kern w:val="10"/>
          <w:sz w:val="30"/>
          <w:szCs w:val="30"/>
        </w:rPr>
      </w:pPr>
      <w:r>
        <w:rPr>
          <w:rFonts w:hint="eastAsia" w:asciiTheme="minorHAnsi" w:hAnsiTheme="minorHAnsi" w:eastAsiaTheme="minorEastAsia"/>
          <w:kern w:val="10"/>
          <w:sz w:val="30"/>
          <w:szCs w:val="30"/>
        </w:rPr>
        <w:t>9</w:t>
      </w:r>
      <w:r>
        <w:rPr>
          <w:rFonts w:hint="eastAsia" w:asciiTheme="minorHAnsi" w:hAnsiTheme="minorEastAsia" w:eastAsiaTheme="minorEastAsia"/>
          <w:kern w:val="10"/>
          <w:sz w:val="30"/>
          <w:szCs w:val="30"/>
        </w:rPr>
        <w:t>）完成区委、区政府交办的其他工作。</w:t>
      </w:r>
    </w:p>
    <w:p>
      <w:pPr>
        <w:ind w:firstLine="708" w:firstLineChars="235"/>
        <w:rPr>
          <w:rFonts w:cs="楷体_GB2312" w:asciiTheme="minorHAnsi" w:hAnsiTheme="minorHAnsi" w:eastAsiaTheme="minorEastAsia"/>
          <w:b/>
          <w:bCs/>
          <w:color w:val="000000" w:themeColor="text1"/>
          <w:kern w:val="10"/>
          <w:sz w:val="30"/>
          <w:szCs w:val="30"/>
        </w:rPr>
      </w:pPr>
      <w:r>
        <w:rPr>
          <w:rFonts w:hint="eastAsia" w:cs="楷体_GB2312" w:asciiTheme="minorHAnsi" w:hAnsiTheme="minorHAnsi" w:eastAsiaTheme="minorEastAsia"/>
          <w:b/>
          <w:bCs/>
          <w:color w:val="000000" w:themeColor="text1"/>
          <w:kern w:val="10"/>
          <w:sz w:val="30"/>
          <w:szCs w:val="30"/>
        </w:rPr>
        <w:t>2</w:t>
      </w:r>
      <w:r>
        <w:rPr>
          <w:rFonts w:hint="eastAsia" w:cs="楷体_GB2312" w:asciiTheme="minorHAnsi" w:hAnsiTheme="minorEastAsia" w:eastAsiaTheme="minorEastAsia"/>
          <w:b/>
          <w:bCs/>
          <w:color w:val="000000" w:themeColor="text1"/>
          <w:kern w:val="10"/>
          <w:sz w:val="30"/>
          <w:szCs w:val="30"/>
        </w:rPr>
        <w:t>、机构设置</w:t>
      </w:r>
    </w:p>
    <w:p>
      <w:pPr>
        <w:ind w:firstLine="450" w:firstLineChars="150"/>
        <w:rPr>
          <w:rFonts w:cs="楷体_GB2312" w:asciiTheme="minorHAnsi" w:hAnsiTheme="minorHAnsi" w:eastAsiaTheme="minorEastAsia"/>
          <w:bCs/>
          <w:color w:val="000000" w:themeColor="text1"/>
          <w:kern w:val="10"/>
          <w:sz w:val="30"/>
          <w:szCs w:val="30"/>
        </w:rPr>
      </w:pPr>
      <w:r>
        <w:rPr>
          <w:rFonts w:hint="eastAsia" w:cs="楷体_GB2312" w:asciiTheme="minorHAnsi" w:hAnsiTheme="minorHAnsi" w:eastAsiaTheme="minorEastAsia"/>
          <w:bCs/>
          <w:color w:val="000000" w:themeColor="text1"/>
          <w:kern w:val="10"/>
          <w:sz w:val="30"/>
          <w:szCs w:val="30"/>
        </w:rPr>
        <w:t xml:space="preserve"> </w:t>
      </w:r>
      <w:r>
        <w:rPr>
          <w:rFonts w:hint="eastAsia" w:cs="楷体_GB2312" w:asciiTheme="minorHAnsi" w:hAnsiTheme="minorEastAsia" w:eastAsiaTheme="minorEastAsia"/>
          <w:bCs/>
          <w:color w:val="000000" w:themeColor="text1"/>
          <w:kern w:val="10"/>
          <w:sz w:val="30"/>
          <w:szCs w:val="30"/>
        </w:rPr>
        <w:t>根据编办核定，我街道包括机关本级，内设科室</w:t>
      </w:r>
      <w:r>
        <w:rPr>
          <w:rFonts w:hint="eastAsia" w:cs="楷体_GB2312" w:asciiTheme="minorHAnsi" w:hAnsiTheme="minorHAnsi" w:eastAsiaTheme="minorEastAsia"/>
          <w:bCs/>
          <w:color w:val="000000" w:themeColor="text1"/>
          <w:kern w:val="10"/>
          <w:sz w:val="30"/>
          <w:szCs w:val="30"/>
        </w:rPr>
        <w:t>6</w:t>
      </w:r>
      <w:r>
        <w:rPr>
          <w:rFonts w:hint="eastAsia" w:cs="楷体_GB2312" w:asciiTheme="minorHAnsi" w:hAnsiTheme="minorEastAsia" w:eastAsiaTheme="minorEastAsia"/>
          <w:bCs/>
          <w:color w:val="000000" w:themeColor="text1"/>
          <w:kern w:val="10"/>
          <w:sz w:val="30"/>
          <w:szCs w:val="30"/>
        </w:rPr>
        <w:t>个，分别是党政综合办、基层党建办、城市管理办、公共服务办、公共安全办和财政所；</w:t>
      </w:r>
      <w:r>
        <w:rPr>
          <w:rFonts w:hint="eastAsia" w:cs="楷体_GB2312" w:asciiTheme="minorHAnsi" w:hAnsiTheme="minorHAnsi" w:eastAsiaTheme="minorEastAsia"/>
          <w:bCs/>
          <w:color w:val="000000" w:themeColor="text1"/>
          <w:kern w:val="10"/>
          <w:sz w:val="30"/>
          <w:szCs w:val="30"/>
        </w:rPr>
        <w:t>3</w:t>
      </w:r>
      <w:r>
        <w:rPr>
          <w:rFonts w:hint="eastAsia" w:cs="楷体_GB2312" w:asciiTheme="minorHAnsi" w:hAnsiTheme="minorEastAsia" w:eastAsiaTheme="minorEastAsia"/>
          <w:bCs/>
          <w:color w:val="000000" w:themeColor="text1"/>
          <w:kern w:val="10"/>
          <w:sz w:val="30"/>
          <w:szCs w:val="30"/>
        </w:rPr>
        <w:t>个二级机构，分别是街道政务服务中心、街道网格化综合服务中心和退役军人服务站；</w:t>
      </w:r>
      <w:r>
        <w:rPr>
          <w:rFonts w:hint="eastAsia" w:cs="楷体_GB2312" w:asciiTheme="minorHAnsi" w:hAnsiTheme="minorHAnsi" w:eastAsiaTheme="minorEastAsia"/>
          <w:bCs/>
          <w:color w:val="000000" w:themeColor="text1"/>
          <w:kern w:val="10"/>
          <w:sz w:val="30"/>
          <w:szCs w:val="30"/>
        </w:rPr>
        <w:t>7</w:t>
      </w:r>
      <w:r>
        <w:rPr>
          <w:rFonts w:hint="eastAsia" w:cs="楷体_GB2312" w:asciiTheme="minorHAnsi" w:hAnsiTheme="minorEastAsia" w:eastAsiaTheme="minorEastAsia"/>
          <w:bCs/>
          <w:color w:val="000000" w:themeColor="text1"/>
          <w:kern w:val="10"/>
          <w:sz w:val="30"/>
          <w:szCs w:val="30"/>
        </w:rPr>
        <w:t>个基层群众性自治组织，分别是东瑞社区、东宜社区、望龙社区、黄泥塘社区、隆平公园社区、东屯村和杉木村。</w:t>
      </w:r>
    </w:p>
    <w:p>
      <w:pPr>
        <w:pStyle w:val="5"/>
        <w:spacing w:line="240" w:lineRule="auto"/>
        <w:ind w:firstLine="289" w:firstLineChars="96"/>
        <w:rPr>
          <w:rFonts w:asciiTheme="minorHAnsi" w:hAnsiTheme="minorHAnsi" w:eastAsiaTheme="minorEastAsia"/>
          <w:b/>
          <w:kern w:val="10"/>
          <w:sz w:val="30"/>
          <w:szCs w:val="30"/>
        </w:rPr>
      </w:pPr>
      <w:r>
        <w:rPr>
          <w:rFonts w:hint="eastAsia" w:asciiTheme="minorHAnsi" w:hAnsiTheme="minorHAnsi" w:eastAsiaTheme="minorEastAsia"/>
          <w:b/>
          <w:kern w:val="10"/>
          <w:sz w:val="30"/>
          <w:szCs w:val="30"/>
        </w:rPr>
        <w:t>3</w:t>
      </w:r>
      <w:r>
        <w:rPr>
          <w:rFonts w:hint="eastAsia" w:asciiTheme="minorHAnsi" w:hAnsiTheme="minorEastAsia" w:eastAsiaTheme="minorEastAsia"/>
          <w:b/>
          <w:kern w:val="10"/>
          <w:sz w:val="30"/>
          <w:szCs w:val="30"/>
        </w:rPr>
        <w:t>、人员情况</w:t>
      </w:r>
    </w:p>
    <w:p>
      <w:pPr>
        <w:pStyle w:val="5"/>
        <w:spacing w:line="240" w:lineRule="auto"/>
        <w:ind w:left="0" w:leftChars="0" w:firstLine="438" w:firstLineChars="146"/>
        <w:rPr>
          <w:rFonts w:asciiTheme="minorHAnsi" w:hAnsiTheme="minorHAnsi" w:eastAsiaTheme="minorEastAsia"/>
          <w:kern w:val="10"/>
          <w:sz w:val="30"/>
          <w:szCs w:val="30"/>
        </w:rPr>
      </w:pPr>
      <w:r>
        <w:rPr>
          <w:rFonts w:hint="eastAsia" w:asciiTheme="minorHAnsi" w:hAnsiTheme="minorEastAsia" w:eastAsiaTheme="minorEastAsia"/>
          <w:kern w:val="10"/>
          <w:sz w:val="30"/>
          <w:szCs w:val="30"/>
        </w:rPr>
        <w:t>截止</w:t>
      </w:r>
      <w:r>
        <w:rPr>
          <w:rFonts w:hint="eastAsia" w:asciiTheme="minorHAnsi" w:hAnsiTheme="minorHAnsi" w:eastAsiaTheme="minorEastAsia"/>
          <w:kern w:val="10"/>
          <w:sz w:val="30"/>
          <w:szCs w:val="30"/>
        </w:rPr>
        <w:t>202</w:t>
      </w:r>
      <w:r>
        <w:rPr>
          <w:rFonts w:hint="eastAsia" w:asciiTheme="minorHAnsi" w:hAnsiTheme="minorHAnsi" w:eastAsiaTheme="minorEastAsia"/>
          <w:kern w:val="10"/>
          <w:sz w:val="30"/>
          <w:szCs w:val="30"/>
          <w:lang w:val="en-US" w:eastAsia="zh-CN"/>
        </w:rPr>
        <w:t>2</w:t>
      </w:r>
      <w:r>
        <w:rPr>
          <w:rFonts w:hint="eastAsia" w:asciiTheme="minorHAnsi" w:hAnsiTheme="minorEastAsia" w:eastAsiaTheme="minorEastAsia"/>
          <w:kern w:val="10"/>
          <w:sz w:val="30"/>
          <w:szCs w:val="30"/>
        </w:rPr>
        <w:t>年</w:t>
      </w:r>
      <w:r>
        <w:rPr>
          <w:rFonts w:hint="eastAsia" w:asciiTheme="minorHAnsi" w:hAnsiTheme="minorHAnsi" w:eastAsiaTheme="minorEastAsia"/>
          <w:kern w:val="10"/>
          <w:sz w:val="30"/>
          <w:szCs w:val="30"/>
        </w:rPr>
        <w:t>12</w:t>
      </w:r>
      <w:r>
        <w:rPr>
          <w:rFonts w:hint="eastAsia" w:asciiTheme="minorHAnsi" w:hAnsiTheme="minorEastAsia" w:eastAsiaTheme="minorEastAsia"/>
          <w:kern w:val="10"/>
          <w:sz w:val="30"/>
          <w:szCs w:val="30"/>
        </w:rPr>
        <w:t>月</w:t>
      </w:r>
      <w:r>
        <w:rPr>
          <w:rFonts w:hint="eastAsia" w:asciiTheme="minorHAnsi" w:hAnsiTheme="minorHAnsi" w:eastAsiaTheme="minorEastAsia"/>
          <w:kern w:val="10"/>
          <w:sz w:val="30"/>
          <w:szCs w:val="30"/>
        </w:rPr>
        <w:t>31</w:t>
      </w:r>
      <w:r>
        <w:rPr>
          <w:rFonts w:hint="eastAsia" w:asciiTheme="minorHAnsi" w:hAnsiTheme="minorEastAsia" w:eastAsiaTheme="minorEastAsia"/>
          <w:kern w:val="10"/>
          <w:sz w:val="30"/>
          <w:szCs w:val="30"/>
        </w:rPr>
        <w:t>日街道实际人数</w:t>
      </w:r>
      <w:r>
        <w:rPr>
          <w:rFonts w:hint="eastAsia" w:asciiTheme="minorHAnsi" w:hAnsiTheme="minorHAnsi" w:eastAsiaTheme="minorEastAsia"/>
          <w:kern w:val="10"/>
          <w:sz w:val="30"/>
          <w:szCs w:val="30"/>
        </w:rPr>
        <w:t>2</w:t>
      </w:r>
      <w:r>
        <w:rPr>
          <w:rFonts w:hint="eastAsia" w:asciiTheme="minorHAnsi" w:hAnsiTheme="minorHAnsi" w:eastAsiaTheme="minorEastAsia"/>
          <w:kern w:val="10"/>
          <w:sz w:val="30"/>
          <w:szCs w:val="30"/>
          <w:lang w:val="en-US" w:eastAsia="zh-CN"/>
        </w:rPr>
        <w:t>45</w:t>
      </w:r>
      <w:r>
        <w:rPr>
          <w:rFonts w:hint="eastAsia" w:asciiTheme="minorHAnsi" w:hAnsiTheme="minorEastAsia" w:eastAsiaTheme="minorEastAsia"/>
          <w:kern w:val="10"/>
          <w:sz w:val="30"/>
          <w:szCs w:val="30"/>
        </w:rPr>
        <w:t>人，包括行政编</w:t>
      </w:r>
      <w:r>
        <w:rPr>
          <w:rFonts w:hint="eastAsia" w:asciiTheme="minorHAnsi" w:hAnsiTheme="minorEastAsia" w:eastAsiaTheme="minorEastAsia"/>
          <w:kern w:val="10"/>
          <w:sz w:val="30"/>
          <w:szCs w:val="30"/>
          <w:lang w:val="en-US" w:eastAsia="zh-CN"/>
        </w:rPr>
        <w:t>16</w:t>
      </w:r>
      <w:r>
        <w:rPr>
          <w:rFonts w:hint="eastAsia" w:asciiTheme="minorHAnsi" w:hAnsiTheme="minorEastAsia" w:eastAsiaTheme="minorEastAsia"/>
          <w:kern w:val="10"/>
          <w:sz w:val="30"/>
          <w:szCs w:val="30"/>
        </w:rPr>
        <w:t>人、事业编</w:t>
      </w:r>
      <w:r>
        <w:rPr>
          <w:rFonts w:hint="eastAsia" w:asciiTheme="minorHAnsi" w:hAnsiTheme="minorEastAsia" w:eastAsiaTheme="minorEastAsia"/>
          <w:kern w:val="10"/>
          <w:sz w:val="30"/>
          <w:szCs w:val="30"/>
          <w:lang w:val="en-US" w:eastAsia="zh-CN"/>
        </w:rPr>
        <w:t>35</w:t>
      </w:r>
      <w:r>
        <w:rPr>
          <w:rFonts w:hint="eastAsia" w:asciiTheme="minorHAnsi" w:hAnsiTheme="minorEastAsia" w:eastAsiaTheme="minorEastAsia"/>
          <w:kern w:val="10"/>
          <w:sz w:val="30"/>
          <w:szCs w:val="30"/>
        </w:rPr>
        <w:t>人、政府雇员</w:t>
      </w:r>
      <w:r>
        <w:rPr>
          <w:rFonts w:hint="eastAsia" w:asciiTheme="minorHAnsi" w:hAnsiTheme="minorHAnsi" w:eastAsiaTheme="minorEastAsia"/>
          <w:kern w:val="10"/>
          <w:sz w:val="30"/>
          <w:szCs w:val="30"/>
        </w:rPr>
        <w:t>5</w:t>
      </w:r>
      <w:r>
        <w:rPr>
          <w:rFonts w:hint="eastAsia" w:asciiTheme="minorHAnsi" w:hAnsiTheme="minorEastAsia" w:eastAsiaTheme="minorEastAsia"/>
          <w:kern w:val="10"/>
          <w:sz w:val="30"/>
          <w:szCs w:val="30"/>
        </w:rPr>
        <w:t>人、军转士官及其他</w:t>
      </w:r>
      <w:r>
        <w:rPr>
          <w:rFonts w:hint="eastAsia" w:asciiTheme="minorHAnsi" w:hAnsiTheme="minorHAnsi" w:eastAsiaTheme="minorEastAsia"/>
          <w:kern w:val="10"/>
          <w:sz w:val="30"/>
          <w:szCs w:val="30"/>
        </w:rPr>
        <w:t>7</w:t>
      </w:r>
      <w:r>
        <w:rPr>
          <w:rFonts w:hint="eastAsia" w:asciiTheme="minorHAnsi" w:hAnsiTheme="minorEastAsia" w:eastAsiaTheme="minorEastAsia"/>
          <w:kern w:val="10"/>
          <w:sz w:val="30"/>
          <w:szCs w:val="30"/>
        </w:rPr>
        <w:t>人、集体干部</w:t>
      </w:r>
      <w:r>
        <w:rPr>
          <w:rFonts w:hint="eastAsia" w:asciiTheme="minorHAnsi" w:hAnsiTheme="minorHAnsi" w:eastAsiaTheme="minorEastAsia"/>
          <w:kern w:val="10"/>
          <w:sz w:val="30"/>
          <w:szCs w:val="30"/>
        </w:rPr>
        <w:t>5</w:t>
      </w:r>
      <w:r>
        <w:rPr>
          <w:rFonts w:hint="eastAsia" w:asciiTheme="minorHAnsi" w:hAnsiTheme="minorEastAsia" w:eastAsiaTheme="minorEastAsia"/>
          <w:kern w:val="10"/>
          <w:sz w:val="30"/>
          <w:szCs w:val="30"/>
        </w:rPr>
        <w:t>人、</w:t>
      </w:r>
      <w:r>
        <w:rPr>
          <w:rFonts w:hint="eastAsia" w:asciiTheme="minorHAnsi" w:hAnsiTheme="minorEastAsia" w:eastAsiaTheme="minorEastAsia"/>
          <w:kern w:val="10"/>
          <w:sz w:val="30"/>
          <w:szCs w:val="30"/>
          <w:lang w:eastAsia="zh-CN"/>
        </w:rPr>
        <w:t>员额</w:t>
      </w:r>
      <w:r>
        <w:rPr>
          <w:rFonts w:hint="eastAsia" w:asciiTheme="minorHAnsi" w:hAnsiTheme="minorEastAsia" w:eastAsiaTheme="minorEastAsia"/>
          <w:kern w:val="10"/>
          <w:sz w:val="30"/>
          <w:szCs w:val="30"/>
        </w:rPr>
        <w:t>人员</w:t>
      </w:r>
      <w:r>
        <w:rPr>
          <w:rFonts w:hint="eastAsia" w:asciiTheme="minorHAnsi" w:hAnsiTheme="minorEastAsia" w:eastAsiaTheme="minorEastAsia"/>
          <w:kern w:val="10"/>
          <w:sz w:val="30"/>
          <w:szCs w:val="30"/>
          <w:lang w:val="en-US" w:eastAsia="zh-CN"/>
        </w:rPr>
        <w:t>66</w:t>
      </w:r>
      <w:r>
        <w:rPr>
          <w:rFonts w:hint="eastAsia" w:asciiTheme="minorHAnsi" w:hAnsiTheme="minorEastAsia" w:eastAsiaTheme="minorEastAsia"/>
          <w:kern w:val="10"/>
          <w:sz w:val="30"/>
          <w:szCs w:val="30"/>
        </w:rPr>
        <w:t>人、公益性岗位</w:t>
      </w:r>
      <w:r>
        <w:rPr>
          <w:rFonts w:hint="eastAsia" w:asciiTheme="minorHAnsi" w:hAnsiTheme="minorHAnsi" w:eastAsiaTheme="minorEastAsia"/>
          <w:kern w:val="10"/>
          <w:sz w:val="30"/>
          <w:szCs w:val="30"/>
        </w:rPr>
        <w:t>104</w:t>
      </w:r>
      <w:r>
        <w:rPr>
          <w:rFonts w:hint="eastAsia" w:asciiTheme="minorHAnsi" w:hAnsiTheme="minorEastAsia" w:eastAsiaTheme="minorEastAsia"/>
          <w:kern w:val="10"/>
          <w:sz w:val="30"/>
          <w:szCs w:val="30"/>
        </w:rPr>
        <w:t>人、遗属</w:t>
      </w:r>
      <w:r>
        <w:rPr>
          <w:rFonts w:hint="eastAsia" w:asciiTheme="minorHAnsi" w:hAnsiTheme="minorEastAsia" w:eastAsiaTheme="minorEastAsia"/>
          <w:kern w:val="10"/>
          <w:sz w:val="30"/>
          <w:szCs w:val="30"/>
          <w:lang w:val="en-US" w:eastAsia="zh-CN"/>
        </w:rPr>
        <w:t>7</w:t>
      </w:r>
      <w:r>
        <w:rPr>
          <w:rFonts w:hint="eastAsia" w:asciiTheme="minorHAnsi" w:hAnsiTheme="minorEastAsia" w:eastAsiaTheme="minorEastAsia"/>
          <w:kern w:val="10"/>
          <w:sz w:val="30"/>
          <w:szCs w:val="30"/>
        </w:rPr>
        <w:t>人。</w:t>
      </w:r>
    </w:p>
    <w:p>
      <w:pPr>
        <w:pStyle w:val="5"/>
        <w:spacing w:line="240" w:lineRule="auto"/>
        <w:ind w:left="0" w:leftChars="0" w:firstLine="440" w:firstLineChars="146"/>
        <w:rPr>
          <w:rFonts w:asciiTheme="minorHAnsi" w:hAnsiTheme="minorHAnsi" w:eastAsiaTheme="minorEastAsia"/>
          <w:kern w:val="10"/>
          <w:sz w:val="30"/>
          <w:szCs w:val="30"/>
        </w:rPr>
      </w:pPr>
      <w:r>
        <w:rPr>
          <w:rFonts w:asciiTheme="minorHAnsi" w:hAnsiTheme="minorEastAsia" w:eastAsiaTheme="minorEastAsia"/>
          <w:b/>
          <w:kern w:val="10"/>
          <w:sz w:val="30"/>
          <w:szCs w:val="32"/>
        </w:rPr>
        <w:t>（二）部门整体支出规模、使用方向和主要内容、涉及范围等。</w:t>
      </w:r>
    </w:p>
    <w:p>
      <w:pPr>
        <w:ind w:firstLine="600" w:firstLineChars="200"/>
        <w:jc w:val="left"/>
        <w:rPr>
          <w:rFonts w:asciiTheme="minorHAnsi" w:hAnsiTheme="minorHAnsi" w:eastAsiaTheme="minorEastAsia"/>
          <w:kern w:val="10"/>
          <w:sz w:val="30"/>
          <w:szCs w:val="32"/>
        </w:rPr>
      </w:pPr>
      <w:r>
        <w:rPr>
          <w:rFonts w:asciiTheme="minorHAnsi" w:hAnsiTheme="minorHAnsi" w:eastAsiaTheme="minorEastAsia"/>
          <w:kern w:val="10"/>
          <w:sz w:val="30"/>
          <w:szCs w:val="32"/>
        </w:rPr>
        <w:t>202</w:t>
      </w:r>
      <w:r>
        <w:rPr>
          <w:rFonts w:hint="eastAsia" w:asciiTheme="minorHAnsi" w:hAnsiTheme="minorHAnsi" w:eastAsiaTheme="minorEastAsia"/>
          <w:kern w:val="10"/>
          <w:sz w:val="30"/>
          <w:szCs w:val="32"/>
          <w:lang w:val="en-US" w:eastAsia="zh-CN"/>
        </w:rPr>
        <w:t>2</w:t>
      </w:r>
      <w:r>
        <w:rPr>
          <w:rFonts w:asciiTheme="minorHAnsi" w:hAnsiTheme="minorEastAsia" w:eastAsiaTheme="minorEastAsia"/>
          <w:kern w:val="10"/>
          <w:sz w:val="30"/>
          <w:szCs w:val="32"/>
        </w:rPr>
        <w:t>年预算批复</w:t>
      </w:r>
      <w:r>
        <w:rPr>
          <w:rFonts w:hint="eastAsia" w:asciiTheme="minorHAnsi" w:hAnsiTheme="minorHAnsi" w:eastAsiaTheme="minorEastAsia"/>
          <w:kern w:val="10"/>
          <w:sz w:val="30"/>
          <w:szCs w:val="32"/>
          <w:lang w:val="en-US" w:eastAsia="zh-CN"/>
        </w:rPr>
        <w:t>7157.4</w:t>
      </w:r>
      <w:r>
        <w:rPr>
          <w:rFonts w:asciiTheme="minorHAnsi" w:hAnsiTheme="minorEastAsia" w:eastAsiaTheme="minorEastAsia"/>
          <w:kern w:val="10"/>
          <w:sz w:val="30"/>
          <w:szCs w:val="32"/>
        </w:rPr>
        <w:t>万元，全年实际到位资金</w:t>
      </w:r>
      <w:r>
        <w:rPr>
          <w:rFonts w:hint="eastAsia" w:asciiTheme="minorHAnsi" w:hAnsiTheme="minorHAnsi" w:eastAsiaTheme="minorEastAsia"/>
          <w:kern w:val="10"/>
          <w:sz w:val="30"/>
          <w:szCs w:val="32"/>
          <w:lang w:val="en-US" w:eastAsia="zh-CN"/>
        </w:rPr>
        <w:t>10257.55</w:t>
      </w:r>
      <w:r>
        <w:rPr>
          <w:rFonts w:asciiTheme="minorHAnsi" w:hAnsiTheme="minorEastAsia" w:eastAsiaTheme="minorEastAsia"/>
          <w:kern w:val="10"/>
          <w:sz w:val="30"/>
          <w:szCs w:val="32"/>
        </w:rPr>
        <w:t>万元；实际支出</w:t>
      </w:r>
      <w:r>
        <w:rPr>
          <w:rFonts w:hint="eastAsia" w:asciiTheme="minorHAnsi" w:hAnsiTheme="minorHAnsi" w:eastAsiaTheme="minorEastAsia"/>
          <w:kern w:val="10"/>
          <w:sz w:val="30"/>
          <w:szCs w:val="32"/>
          <w:lang w:val="en-US" w:eastAsia="zh-CN"/>
        </w:rPr>
        <w:t>10257.55</w:t>
      </w:r>
      <w:r>
        <w:rPr>
          <w:rFonts w:asciiTheme="minorHAnsi" w:hAnsiTheme="minorEastAsia" w:eastAsiaTheme="minorEastAsia"/>
          <w:kern w:val="10"/>
          <w:sz w:val="30"/>
          <w:szCs w:val="32"/>
        </w:rPr>
        <w:t>万元，其中基本支出</w:t>
      </w:r>
      <w:r>
        <w:rPr>
          <w:rFonts w:hint="eastAsia" w:asciiTheme="minorHAnsi" w:hAnsiTheme="minorHAnsi" w:eastAsiaTheme="minorEastAsia"/>
          <w:kern w:val="10"/>
          <w:sz w:val="30"/>
          <w:szCs w:val="32"/>
          <w:lang w:val="en-US" w:eastAsia="zh-CN"/>
        </w:rPr>
        <w:t>3361.63</w:t>
      </w:r>
      <w:r>
        <w:rPr>
          <w:rFonts w:asciiTheme="minorHAnsi" w:hAnsiTheme="minorEastAsia" w:eastAsiaTheme="minorEastAsia"/>
          <w:kern w:val="10"/>
          <w:sz w:val="30"/>
          <w:szCs w:val="32"/>
        </w:rPr>
        <w:t>万元，项目支出</w:t>
      </w:r>
      <w:r>
        <w:rPr>
          <w:rFonts w:hint="eastAsia" w:asciiTheme="minorHAnsi" w:hAnsiTheme="minorHAnsi" w:eastAsiaTheme="minorEastAsia"/>
          <w:kern w:val="10"/>
          <w:sz w:val="30"/>
          <w:szCs w:val="32"/>
          <w:lang w:val="en-US" w:eastAsia="zh-CN"/>
        </w:rPr>
        <w:t>6895.93</w:t>
      </w:r>
      <w:r>
        <w:rPr>
          <w:rFonts w:asciiTheme="minorHAnsi" w:hAnsiTheme="minorEastAsia" w:eastAsiaTheme="minorEastAsia"/>
          <w:kern w:val="10"/>
          <w:sz w:val="30"/>
          <w:szCs w:val="32"/>
        </w:rPr>
        <w:t>万元；上年结余</w:t>
      </w:r>
      <w:r>
        <w:rPr>
          <w:rFonts w:hint="eastAsia" w:asciiTheme="minorHAnsi" w:hAnsiTheme="minorHAnsi" w:eastAsiaTheme="minorEastAsia"/>
          <w:kern w:val="10"/>
          <w:sz w:val="30"/>
          <w:szCs w:val="32"/>
          <w:lang w:val="en-US" w:eastAsia="zh-CN"/>
        </w:rPr>
        <w:t>0</w:t>
      </w:r>
      <w:r>
        <w:rPr>
          <w:rFonts w:asciiTheme="minorHAnsi" w:hAnsiTheme="minorEastAsia" w:eastAsiaTheme="minorEastAsia"/>
          <w:kern w:val="10"/>
          <w:sz w:val="30"/>
          <w:szCs w:val="32"/>
        </w:rPr>
        <w:t>万元，本年结余</w:t>
      </w:r>
      <w:r>
        <w:rPr>
          <w:rFonts w:hint="eastAsia" w:asciiTheme="minorHAnsi" w:hAnsiTheme="minorHAnsi" w:eastAsiaTheme="minorEastAsia"/>
          <w:kern w:val="10"/>
          <w:sz w:val="30"/>
          <w:szCs w:val="32"/>
        </w:rPr>
        <w:t>0</w:t>
      </w:r>
      <w:r>
        <w:rPr>
          <w:rFonts w:asciiTheme="minorHAnsi" w:hAnsiTheme="minorEastAsia" w:eastAsiaTheme="minorEastAsia"/>
          <w:kern w:val="10"/>
          <w:sz w:val="30"/>
          <w:szCs w:val="32"/>
        </w:rPr>
        <w:t>万元。</w:t>
      </w:r>
    </w:p>
    <w:p>
      <w:pPr>
        <w:pStyle w:val="16"/>
        <w:ind w:firstLine="602"/>
        <w:rPr>
          <w:rFonts w:asciiTheme="minorHAnsi" w:hAnsiTheme="minorHAnsi" w:eastAsiaTheme="minorEastAsia"/>
          <w:b/>
          <w:kern w:val="10"/>
          <w:sz w:val="30"/>
          <w:szCs w:val="32"/>
        </w:rPr>
      </w:pPr>
      <w:r>
        <w:rPr>
          <w:rFonts w:asciiTheme="minorHAnsi" w:hAnsiTheme="minorEastAsia" w:eastAsiaTheme="minorEastAsia"/>
          <w:b/>
          <w:kern w:val="10"/>
          <w:sz w:val="30"/>
          <w:szCs w:val="32"/>
        </w:rPr>
        <w:t>二、一般公共预算支出情况</w:t>
      </w:r>
    </w:p>
    <w:p>
      <w:pPr>
        <w:ind w:firstLine="602" w:firstLineChars="200"/>
        <w:jc w:val="left"/>
        <w:rPr>
          <w:rFonts w:asciiTheme="minorHAnsi" w:hAnsiTheme="minorHAnsi" w:eastAsiaTheme="minorEastAsia"/>
          <w:b/>
          <w:bCs/>
          <w:kern w:val="10"/>
          <w:sz w:val="30"/>
          <w:szCs w:val="32"/>
        </w:rPr>
      </w:pPr>
      <w:r>
        <w:rPr>
          <w:rFonts w:asciiTheme="minorHAnsi" w:hAnsiTheme="minorEastAsia" w:eastAsiaTheme="minorEastAsia"/>
          <w:b/>
          <w:bCs/>
          <w:kern w:val="10"/>
          <w:sz w:val="30"/>
          <w:szCs w:val="32"/>
        </w:rPr>
        <w:t>（一）基本支出</w:t>
      </w:r>
    </w:p>
    <w:p>
      <w:pPr>
        <w:ind w:firstLine="600" w:firstLineChars="200"/>
        <w:jc w:val="left"/>
        <w:rPr>
          <w:rFonts w:asciiTheme="minorHAnsi" w:hAnsiTheme="minorHAnsi" w:eastAsiaTheme="minorEastAsia"/>
          <w:kern w:val="10"/>
          <w:sz w:val="30"/>
          <w:szCs w:val="30"/>
        </w:rPr>
      </w:pPr>
      <w:r>
        <w:rPr>
          <w:rFonts w:hint="eastAsia" w:asciiTheme="minorHAnsi" w:hAnsiTheme="minorEastAsia" w:eastAsiaTheme="minorEastAsia"/>
          <w:kern w:val="10"/>
          <w:sz w:val="30"/>
          <w:szCs w:val="30"/>
        </w:rPr>
        <w:t>基本支出是指为保障单位机构正常运转、完成日常工作任务而发生的各项支出，包括人员工资福利支出、商品服务支出、对个人和家庭的补助支出以及其他支出等。我街道</w:t>
      </w:r>
      <w:r>
        <w:rPr>
          <w:rFonts w:hint="eastAsia" w:asciiTheme="minorHAnsi" w:hAnsiTheme="minorHAnsi" w:eastAsiaTheme="minorEastAsia"/>
          <w:kern w:val="10"/>
          <w:sz w:val="30"/>
          <w:szCs w:val="30"/>
        </w:rPr>
        <w:t>202</w:t>
      </w:r>
      <w:r>
        <w:rPr>
          <w:rFonts w:hint="eastAsia" w:asciiTheme="minorHAnsi" w:hAnsiTheme="minorHAnsi" w:eastAsiaTheme="minorEastAsia"/>
          <w:kern w:val="10"/>
          <w:sz w:val="30"/>
          <w:szCs w:val="30"/>
          <w:lang w:val="en-US" w:eastAsia="zh-CN"/>
        </w:rPr>
        <w:t>2</w:t>
      </w:r>
      <w:r>
        <w:rPr>
          <w:rFonts w:hint="eastAsia" w:asciiTheme="minorHAnsi" w:hAnsiTheme="minorEastAsia" w:eastAsiaTheme="minorEastAsia"/>
          <w:kern w:val="10"/>
          <w:sz w:val="30"/>
          <w:szCs w:val="30"/>
        </w:rPr>
        <w:t>年基本支出年初预算为</w:t>
      </w:r>
      <w:r>
        <w:rPr>
          <w:rFonts w:hint="eastAsia" w:asciiTheme="minorHAnsi" w:hAnsiTheme="minorHAnsi" w:eastAsiaTheme="minorEastAsia"/>
          <w:kern w:val="10"/>
          <w:sz w:val="30"/>
          <w:szCs w:val="30"/>
          <w:lang w:val="en-US" w:eastAsia="zh-CN"/>
        </w:rPr>
        <w:t>3418</w:t>
      </w:r>
      <w:bookmarkStart w:id="0" w:name="_GoBack"/>
      <w:bookmarkEnd w:id="0"/>
      <w:r>
        <w:rPr>
          <w:rFonts w:hint="eastAsia" w:asciiTheme="minorHAnsi" w:hAnsiTheme="minorHAnsi" w:eastAsiaTheme="minorEastAsia"/>
          <w:kern w:val="10"/>
          <w:sz w:val="30"/>
          <w:szCs w:val="30"/>
          <w:lang w:val="en-US" w:eastAsia="zh-CN"/>
        </w:rPr>
        <w:t>.13</w:t>
      </w:r>
      <w:r>
        <w:rPr>
          <w:rFonts w:hint="eastAsia" w:asciiTheme="minorHAnsi" w:hAnsiTheme="minorEastAsia" w:eastAsiaTheme="minorEastAsia"/>
          <w:kern w:val="10"/>
          <w:sz w:val="30"/>
          <w:szCs w:val="30"/>
        </w:rPr>
        <w:t>万元，通过预算调整实际支出为</w:t>
      </w:r>
      <w:r>
        <w:rPr>
          <w:rFonts w:hint="eastAsia" w:asciiTheme="minorHAnsi" w:hAnsiTheme="minorHAnsi" w:eastAsiaTheme="minorEastAsia"/>
          <w:kern w:val="10"/>
          <w:sz w:val="30"/>
          <w:szCs w:val="30"/>
          <w:lang w:val="en-US" w:eastAsia="zh-CN"/>
        </w:rPr>
        <w:t>3361.63</w:t>
      </w:r>
      <w:r>
        <w:rPr>
          <w:rFonts w:hint="eastAsia" w:asciiTheme="minorHAnsi" w:hAnsiTheme="minorEastAsia" w:eastAsiaTheme="minorEastAsia"/>
          <w:kern w:val="10"/>
          <w:sz w:val="30"/>
          <w:szCs w:val="30"/>
        </w:rPr>
        <w:t>万元，其中人员工资福利支出</w:t>
      </w:r>
      <w:r>
        <w:rPr>
          <w:rFonts w:hint="eastAsia" w:asciiTheme="minorHAnsi" w:hAnsiTheme="minorHAnsi" w:eastAsiaTheme="minorEastAsia"/>
          <w:kern w:val="10"/>
          <w:sz w:val="30"/>
          <w:szCs w:val="30"/>
          <w:lang w:val="en-US" w:eastAsia="zh-CN"/>
        </w:rPr>
        <w:t>2807.05</w:t>
      </w:r>
      <w:r>
        <w:rPr>
          <w:rFonts w:hint="eastAsia" w:asciiTheme="minorHAnsi" w:hAnsiTheme="minorEastAsia" w:eastAsiaTheme="minorEastAsia"/>
          <w:kern w:val="10"/>
          <w:sz w:val="30"/>
          <w:szCs w:val="30"/>
        </w:rPr>
        <w:t>万元、商品服务支出</w:t>
      </w:r>
      <w:r>
        <w:rPr>
          <w:rFonts w:hint="eastAsia" w:asciiTheme="minorHAnsi" w:hAnsiTheme="minorHAnsi" w:eastAsiaTheme="minorEastAsia"/>
          <w:kern w:val="10"/>
          <w:sz w:val="30"/>
          <w:szCs w:val="30"/>
          <w:lang w:val="en-US" w:eastAsia="zh-CN"/>
        </w:rPr>
        <w:t>243.5</w:t>
      </w:r>
      <w:r>
        <w:rPr>
          <w:rFonts w:hint="eastAsia" w:asciiTheme="minorHAnsi" w:hAnsiTheme="minorHAnsi" w:eastAsiaTheme="minorEastAsia"/>
          <w:kern w:val="10"/>
          <w:sz w:val="30"/>
          <w:szCs w:val="30"/>
        </w:rPr>
        <w:t>6</w:t>
      </w:r>
      <w:r>
        <w:rPr>
          <w:rFonts w:hint="eastAsia" w:asciiTheme="minorHAnsi" w:hAnsiTheme="minorEastAsia" w:eastAsiaTheme="minorEastAsia"/>
          <w:kern w:val="10"/>
          <w:sz w:val="30"/>
          <w:szCs w:val="30"/>
        </w:rPr>
        <w:t>万元、对个人和家庭的补助支出</w:t>
      </w:r>
      <w:r>
        <w:rPr>
          <w:rFonts w:hint="eastAsia" w:asciiTheme="minorHAnsi" w:hAnsiTheme="minorHAnsi" w:eastAsiaTheme="minorEastAsia"/>
          <w:kern w:val="10"/>
          <w:sz w:val="30"/>
          <w:szCs w:val="30"/>
          <w:lang w:val="en-US" w:eastAsia="zh-CN"/>
        </w:rPr>
        <w:t>311.02</w:t>
      </w:r>
      <w:r>
        <w:rPr>
          <w:rFonts w:hint="eastAsia" w:asciiTheme="minorHAnsi" w:hAnsiTheme="minorEastAsia" w:eastAsiaTheme="minorEastAsia"/>
          <w:kern w:val="10"/>
          <w:sz w:val="30"/>
          <w:szCs w:val="30"/>
        </w:rPr>
        <w:t>万元。</w:t>
      </w:r>
      <w:r>
        <w:rPr>
          <w:rFonts w:hint="eastAsia" w:asciiTheme="minorHAnsi" w:hAnsiTheme="minorHAnsi" w:eastAsiaTheme="minorEastAsia"/>
          <w:kern w:val="10"/>
          <w:sz w:val="30"/>
          <w:szCs w:val="30"/>
        </w:rPr>
        <w:t>202</w:t>
      </w:r>
      <w:r>
        <w:rPr>
          <w:rFonts w:hint="eastAsia" w:asciiTheme="minorHAnsi" w:hAnsiTheme="minorHAnsi" w:eastAsiaTheme="minorEastAsia"/>
          <w:kern w:val="10"/>
          <w:sz w:val="30"/>
          <w:szCs w:val="30"/>
          <w:lang w:val="en-US" w:eastAsia="zh-CN"/>
        </w:rPr>
        <w:t>2</w:t>
      </w:r>
      <w:r>
        <w:rPr>
          <w:rFonts w:hint="eastAsia" w:asciiTheme="minorHAnsi" w:hAnsiTheme="minorEastAsia" w:eastAsiaTheme="minorEastAsia"/>
          <w:kern w:val="10"/>
          <w:sz w:val="30"/>
          <w:szCs w:val="30"/>
        </w:rPr>
        <w:t>年度</w:t>
      </w:r>
      <w:r>
        <w:rPr>
          <w:rFonts w:hint="eastAsia" w:asciiTheme="minorHAnsi" w:hAnsiTheme="minorHAnsi" w:eastAsiaTheme="minorEastAsia"/>
          <w:kern w:val="10"/>
          <w:sz w:val="30"/>
          <w:szCs w:val="30"/>
        </w:rPr>
        <w:t>“</w:t>
      </w:r>
      <w:r>
        <w:rPr>
          <w:rFonts w:hint="eastAsia" w:asciiTheme="minorHAnsi" w:hAnsiTheme="minorEastAsia" w:eastAsiaTheme="minorEastAsia"/>
          <w:kern w:val="10"/>
          <w:sz w:val="30"/>
          <w:szCs w:val="30"/>
        </w:rPr>
        <w:t>三公</w:t>
      </w:r>
      <w:r>
        <w:rPr>
          <w:rFonts w:hint="eastAsia" w:asciiTheme="minorHAnsi" w:hAnsiTheme="minorHAnsi" w:eastAsiaTheme="minorEastAsia"/>
          <w:kern w:val="10"/>
          <w:sz w:val="30"/>
          <w:szCs w:val="30"/>
        </w:rPr>
        <w:t>”</w:t>
      </w:r>
      <w:r>
        <w:rPr>
          <w:rFonts w:hint="eastAsia" w:asciiTheme="minorHAnsi" w:hAnsiTheme="minorEastAsia" w:eastAsiaTheme="minorEastAsia"/>
          <w:kern w:val="10"/>
          <w:sz w:val="30"/>
          <w:szCs w:val="30"/>
        </w:rPr>
        <w:t>经费财政拨款支出预算为</w:t>
      </w:r>
      <w:r>
        <w:rPr>
          <w:rFonts w:hint="eastAsia" w:asciiTheme="minorHAnsi" w:hAnsiTheme="minorHAnsi" w:eastAsiaTheme="minorEastAsia"/>
          <w:kern w:val="10"/>
          <w:sz w:val="30"/>
          <w:szCs w:val="30"/>
        </w:rPr>
        <w:t>0.</w:t>
      </w:r>
      <w:r>
        <w:rPr>
          <w:rFonts w:hint="eastAsia" w:asciiTheme="minorHAnsi" w:hAnsiTheme="minorHAnsi" w:eastAsiaTheme="minorEastAsia"/>
          <w:kern w:val="10"/>
          <w:sz w:val="30"/>
          <w:szCs w:val="30"/>
          <w:lang w:val="en-US" w:eastAsia="zh-CN"/>
        </w:rPr>
        <w:t>2</w:t>
      </w:r>
      <w:r>
        <w:rPr>
          <w:rFonts w:hint="eastAsia" w:asciiTheme="minorHAnsi" w:hAnsiTheme="minorEastAsia" w:eastAsiaTheme="minorEastAsia"/>
          <w:kern w:val="10"/>
          <w:sz w:val="30"/>
          <w:szCs w:val="30"/>
        </w:rPr>
        <w:t>万元，支出决算数为</w:t>
      </w:r>
      <w:r>
        <w:rPr>
          <w:rFonts w:hint="eastAsia" w:asciiTheme="minorHAnsi" w:hAnsiTheme="minorHAnsi" w:eastAsiaTheme="minorEastAsia"/>
          <w:kern w:val="10"/>
          <w:sz w:val="30"/>
          <w:szCs w:val="30"/>
        </w:rPr>
        <w:t>0</w:t>
      </w:r>
      <w:r>
        <w:rPr>
          <w:rFonts w:hint="eastAsia" w:asciiTheme="minorHAnsi" w:hAnsiTheme="minorEastAsia" w:eastAsiaTheme="minorEastAsia"/>
          <w:kern w:val="10"/>
          <w:sz w:val="30"/>
          <w:szCs w:val="30"/>
        </w:rPr>
        <w:t>万元，其中因公出国（境）费支出预算、决算均为</w:t>
      </w:r>
      <w:r>
        <w:rPr>
          <w:rFonts w:hint="eastAsia" w:asciiTheme="minorHAnsi" w:hAnsiTheme="minorHAnsi" w:eastAsiaTheme="minorEastAsia"/>
          <w:kern w:val="10"/>
          <w:sz w:val="30"/>
          <w:szCs w:val="30"/>
        </w:rPr>
        <w:t>0</w:t>
      </w:r>
      <w:r>
        <w:rPr>
          <w:rFonts w:hint="eastAsia" w:asciiTheme="minorHAnsi" w:hAnsiTheme="minorEastAsia" w:eastAsiaTheme="minorEastAsia"/>
          <w:kern w:val="10"/>
          <w:sz w:val="30"/>
          <w:szCs w:val="30"/>
        </w:rPr>
        <w:t>万元；公务用车购置及运行费支出预算、决算均为</w:t>
      </w:r>
      <w:r>
        <w:rPr>
          <w:rFonts w:hint="eastAsia" w:asciiTheme="minorHAnsi" w:hAnsiTheme="minorHAnsi" w:eastAsiaTheme="minorEastAsia"/>
          <w:kern w:val="10"/>
          <w:sz w:val="30"/>
          <w:szCs w:val="30"/>
        </w:rPr>
        <w:t>0</w:t>
      </w:r>
      <w:r>
        <w:rPr>
          <w:rFonts w:hint="eastAsia" w:asciiTheme="minorHAnsi" w:hAnsiTheme="minorEastAsia" w:eastAsiaTheme="minorEastAsia"/>
          <w:kern w:val="10"/>
          <w:sz w:val="30"/>
          <w:szCs w:val="30"/>
        </w:rPr>
        <w:t>万元；公务接待费支出预算为</w:t>
      </w:r>
      <w:r>
        <w:rPr>
          <w:rFonts w:hint="eastAsia" w:asciiTheme="minorHAnsi" w:hAnsiTheme="minorHAnsi" w:eastAsiaTheme="minorEastAsia"/>
          <w:kern w:val="10"/>
          <w:sz w:val="30"/>
          <w:szCs w:val="30"/>
        </w:rPr>
        <w:t>0.</w:t>
      </w:r>
      <w:r>
        <w:rPr>
          <w:rFonts w:hint="eastAsia" w:asciiTheme="minorHAnsi" w:hAnsiTheme="minorHAnsi" w:eastAsiaTheme="minorEastAsia"/>
          <w:kern w:val="10"/>
          <w:sz w:val="30"/>
          <w:szCs w:val="30"/>
          <w:lang w:val="en-US" w:eastAsia="zh-CN"/>
        </w:rPr>
        <w:t>2</w:t>
      </w:r>
      <w:r>
        <w:rPr>
          <w:rFonts w:hint="eastAsia" w:asciiTheme="minorHAnsi" w:hAnsiTheme="minorEastAsia" w:eastAsiaTheme="minorEastAsia"/>
          <w:kern w:val="10"/>
          <w:sz w:val="30"/>
          <w:szCs w:val="30"/>
        </w:rPr>
        <w:t>万元，决算数为</w:t>
      </w:r>
      <w:r>
        <w:rPr>
          <w:rFonts w:hint="eastAsia" w:asciiTheme="minorHAnsi" w:hAnsiTheme="minorHAnsi" w:eastAsiaTheme="minorEastAsia"/>
          <w:kern w:val="10"/>
          <w:sz w:val="30"/>
          <w:szCs w:val="30"/>
        </w:rPr>
        <w:t>0</w:t>
      </w:r>
      <w:r>
        <w:rPr>
          <w:rFonts w:hint="eastAsia" w:asciiTheme="minorHAnsi" w:hAnsiTheme="minorEastAsia" w:eastAsiaTheme="minorEastAsia"/>
          <w:kern w:val="10"/>
          <w:sz w:val="30"/>
          <w:szCs w:val="30"/>
        </w:rPr>
        <w:t>万元。</w:t>
      </w:r>
      <w:r>
        <w:rPr>
          <w:rFonts w:hint="eastAsia" w:asciiTheme="minorHAnsi" w:hAnsiTheme="minorHAnsi" w:eastAsiaTheme="minorEastAsia"/>
          <w:kern w:val="10"/>
          <w:sz w:val="30"/>
          <w:szCs w:val="30"/>
        </w:rPr>
        <w:t>202</w:t>
      </w:r>
      <w:r>
        <w:rPr>
          <w:rFonts w:hint="eastAsia" w:asciiTheme="minorHAnsi" w:hAnsiTheme="minorHAnsi" w:eastAsiaTheme="minorEastAsia"/>
          <w:kern w:val="10"/>
          <w:sz w:val="30"/>
          <w:szCs w:val="30"/>
          <w:lang w:val="en-US" w:eastAsia="zh-CN"/>
        </w:rPr>
        <w:t>2</w:t>
      </w:r>
      <w:r>
        <w:rPr>
          <w:rFonts w:hint="eastAsia" w:asciiTheme="minorHAnsi" w:hAnsiTheme="minorEastAsia" w:eastAsiaTheme="minorEastAsia"/>
          <w:kern w:val="10"/>
          <w:sz w:val="30"/>
          <w:szCs w:val="30"/>
        </w:rPr>
        <w:t>年</w:t>
      </w:r>
      <w:r>
        <w:rPr>
          <w:rFonts w:hint="eastAsia" w:asciiTheme="minorHAnsi" w:hAnsiTheme="minorHAnsi" w:eastAsiaTheme="minorEastAsia"/>
          <w:kern w:val="10"/>
          <w:sz w:val="30"/>
          <w:szCs w:val="30"/>
        </w:rPr>
        <w:t>“</w:t>
      </w:r>
      <w:r>
        <w:rPr>
          <w:rFonts w:hint="eastAsia" w:asciiTheme="minorHAnsi" w:hAnsiTheme="minorEastAsia" w:eastAsiaTheme="minorEastAsia"/>
          <w:kern w:val="10"/>
          <w:sz w:val="30"/>
          <w:szCs w:val="30"/>
        </w:rPr>
        <w:t>三公</w:t>
      </w:r>
      <w:r>
        <w:rPr>
          <w:rFonts w:hint="eastAsia" w:asciiTheme="minorHAnsi" w:hAnsiTheme="minorHAnsi" w:eastAsiaTheme="minorEastAsia"/>
          <w:kern w:val="10"/>
          <w:sz w:val="30"/>
          <w:szCs w:val="30"/>
        </w:rPr>
        <w:t>”</w:t>
      </w:r>
      <w:r>
        <w:rPr>
          <w:rFonts w:hint="eastAsia" w:asciiTheme="minorHAnsi" w:hAnsiTheme="minorEastAsia" w:eastAsiaTheme="minorEastAsia"/>
          <w:kern w:val="10"/>
          <w:sz w:val="30"/>
          <w:szCs w:val="30"/>
        </w:rPr>
        <w:t>经费支出决算为</w:t>
      </w:r>
      <w:r>
        <w:rPr>
          <w:rFonts w:hint="eastAsia" w:asciiTheme="minorHAnsi" w:hAnsiTheme="minorHAnsi" w:eastAsiaTheme="minorEastAsia"/>
          <w:kern w:val="10"/>
          <w:sz w:val="30"/>
          <w:szCs w:val="30"/>
        </w:rPr>
        <w:t>0</w:t>
      </w:r>
      <w:r>
        <w:rPr>
          <w:rFonts w:hint="eastAsia" w:asciiTheme="minorHAnsi" w:hAnsiTheme="minorEastAsia" w:eastAsiaTheme="minorEastAsia"/>
          <w:kern w:val="10"/>
          <w:sz w:val="30"/>
          <w:szCs w:val="30"/>
        </w:rPr>
        <w:t>的主要原因为：单位认真贯彻落实中央八项规定精神和厉行节约要求，进一步从严控制</w:t>
      </w:r>
      <w:r>
        <w:rPr>
          <w:rFonts w:hint="eastAsia" w:asciiTheme="minorHAnsi" w:hAnsiTheme="minorHAnsi" w:eastAsiaTheme="minorEastAsia"/>
          <w:kern w:val="10"/>
          <w:sz w:val="30"/>
          <w:szCs w:val="30"/>
        </w:rPr>
        <w:t>“</w:t>
      </w:r>
      <w:r>
        <w:rPr>
          <w:rFonts w:hint="eastAsia" w:asciiTheme="minorHAnsi" w:hAnsiTheme="minorEastAsia" w:eastAsiaTheme="minorEastAsia"/>
          <w:kern w:val="10"/>
          <w:sz w:val="30"/>
          <w:szCs w:val="30"/>
        </w:rPr>
        <w:t>三公</w:t>
      </w:r>
      <w:r>
        <w:rPr>
          <w:rFonts w:hint="eastAsia" w:asciiTheme="minorHAnsi" w:hAnsiTheme="minorHAnsi" w:eastAsiaTheme="minorEastAsia"/>
          <w:kern w:val="10"/>
          <w:sz w:val="30"/>
          <w:szCs w:val="30"/>
        </w:rPr>
        <w:t>”</w:t>
      </w:r>
      <w:r>
        <w:rPr>
          <w:rFonts w:hint="eastAsia" w:asciiTheme="minorHAnsi" w:hAnsiTheme="minorEastAsia" w:eastAsiaTheme="minorEastAsia"/>
          <w:kern w:val="10"/>
          <w:sz w:val="30"/>
          <w:szCs w:val="30"/>
        </w:rPr>
        <w:t>经费开支。</w:t>
      </w:r>
    </w:p>
    <w:p>
      <w:pPr>
        <w:ind w:firstLine="602" w:firstLineChars="200"/>
        <w:jc w:val="left"/>
        <w:rPr>
          <w:rFonts w:asciiTheme="minorHAnsi" w:hAnsiTheme="minorHAnsi" w:eastAsiaTheme="minorEastAsia"/>
          <w:b/>
          <w:bCs/>
          <w:kern w:val="10"/>
          <w:sz w:val="30"/>
          <w:szCs w:val="32"/>
        </w:rPr>
      </w:pPr>
      <w:r>
        <w:rPr>
          <w:rFonts w:asciiTheme="minorHAnsi" w:hAnsiTheme="minorEastAsia" w:eastAsiaTheme="minorEastAsia"/>
          <w:b/>
          <w:bCs/>
          <w:kern w:val="10"/>
          <w:sz w:val="30"/>
          <w:szCs w:val="32"/>
        </w:rPr>
        <w:t>（二）项目支出</w:t>
      </w:r>
    </w:p>
    <w:p>
      <w:pPr>
        <w:ind w:firstLine="750" w:firstLineChars="250"/>
        <w:rPr>
          <w:rFonts w:asciiTheme="minorHAnsi" w:hAnsiTheme="minorHAnsi" w:eastAsiaTheme="minorEastAsia"/>
          <w:kern w:val="10"/>
          <w:sz w:val="30"/>
          <w:szCs w:val="30"/>
        </w:rPr>
      </w:pPr>
      <w:r>
        <w:rPr>
          <w:rFonts w:hint="eastAsia" w:asciiTheme="minorHAnsi" w:hAnsiTheme="minorHAnsi" w:eastAsiaTheme="minorEastAsia"/>
          <w:kern w:val="10"/>
          <w:sz w:val="30"/>
          <w:szCs w:val="30"/>
        </w:rPr>
        <w:t>1</w:t>
      </w:r>
      <w:r>
        <w:rPr>
          <w:rFonts w:hint="eastAsia" w:asciiTheme="minorHAnsi" w:hAnsiTheme="minorEastAsia" w:eastAsiaTheme="minorEastAsia"/>
          <w:kern w:val="10"/>
          <w:sz w:val="30"/>
          <w:szCs w:val="30"/>
        </w:rPr>
        <w:t>、项目资金是指单位为完成特定行政工作任务或事业发展目标而发生的支出。按照上级文件的相关规定，包括有关事项发展专项、专项业务费、基本建设支出、专用设备采购等。我街道</w:t>
      </w:r>
      <w:r>
        <w:rPr>
          <w:rFonts w:hint="eastAsia" w:asciiTheme="minorHAnsi" w:hAnsiTheme="minorHAnsi" w:eastAsiaTheme="minorEastAsia"/>
          <w:kern w:val="10"/>
          <w:sz w:val="30"/>
          <w:szCs w:val="30"/>
        </w:rPr>
        <w:t>202</w:t>
      </w:r>
      <w:r>
        <w:rPr>
          <w:rFonts w:hint="eastAsia" w:asciiTheme="minorHAnsi" w:hAnsiTheme="minorHAnsi" w:eastAsiaTheme="minorEastAsia"/>
          <w:kern w:val="10"/>
          <w:sz w:val="30"/>
          <w:szCs w:val="30"/>
          <w:lang w:val="en-US" w:eastAsia="zh-CN"/>
        </w:rPr>
        <w:t>2</w:t>
      </w:r>
      <w:r>
        <w:rPr>
          <w:rFonts w:hint="eastAsia" w:asciiTheme="minorHAnsi" w:hAnsiTheme="minorEastAsia" w:eastAsiaTheme="minorEastAsia"/>
          <w:kern w:val="10"/>
          <w:sz w:val="30"/>
          <w:szCs w:val="30"/>
        </w:rPr>
        <w:t>年年初共设</w:t>
      </w:r>
      <w:r>
        <w:rPr>
          <w:rFonts w:hint="eastAsia" w:asciiTheme="minorHAnsi" w:hAnsiTheme="minorEastAsia" w:eastAsiaTheme="minorEastAsia"/>
          <w:kern w:val="10"/>
          <w:sz w:val="30"/>
          <w:szCs w:val="30"/>
          <w:lang w:val="en-US" w:eastAsia="zh-CN"/>
        </w:rPr>
        <w:t>5</w:t>
      </w:r>
      <w:r>
        <w:rPr>
          <w:rFonts w:hint="eastAsia" w:asciiTheme="minorHAnsi" w:hAnsiTheme="minorEastAsia" w:eastAsiaTheme="minorEastAsia"/>
          <w:kern w:val="10"/>
          <w:sz w:val="30"/>
          <w:szCs w:val="30"/>
        </w:rPr>
        <w:t>个项目经费，安排资金</w:t>
      </w:r>
      <w:r>
        <w:rPr>
          <w:rFonts w:hint="eastAsia" w:asciiTheme="minorHAnsi" w:hAnsiTheme="minorEastAsia" w:eastAsiaTheme="minorEastAsia"/>
          <w:kern w:val="10"/>
          <w:sz w:val="30"/>
          <w:szCs w:val="30"/>
          <w:lang w:val="en-US" w:eastAsia="zh-CN"/>
        </w:rPr>
        <w:t>3739.27</w:t>
      </w:r>
      <w:r>
        <w:rPr>
          <w:rFonts w:hint="eastAsia" w:asciiTheme="minorHAnsi" w:hAnsiTheme="minorEastAsia" w:eastAsiaTheme="minorEastAsia"/>
          <w:kern w:val="10"/>
          <w:sz w:val="30"/>
          <w:szCs w:val="30"/>
        </w:rPr>
        <w:t>万元，所有项目经费都是专款专用，项目具体明细如下：</w:t>
      </w:r>
    </w:p>
    <w:p>
      <w:pPr>
        <w:ind w:firstLine="750" w:firstLineChars="250"/>
        <w:rPr>
          <w:rFonts w:hint="eastAsia" w:asciiTheme="minorHAnsi" w:hAnsiTheme="minorEastAsia" w:eastAsiaTheme="minorEastAsia"/>
          <w:kern w:val="10"/>
          <w:sz w:val="30"/>
          <w:szCs w:val="30"/>
        </w:rPr>
      </w:pPr>
      <w:r>
        <w:rPr>
          <w:rFonts w:hint="eastAsia" w:asciiTheme="minorHAnsi" w:hAnsiTheme="minorHAnsi" w:eastAsiaTheme="minorEastAsia"/>
          <w:kern w:val="10"/>
          <w:sz w:val="30"/>
          <w:szCs w:val="30"/>
        </w:rPr>
        <w:t>1</w:t>
      </w:r>
      <w:r>
        <w:rPr>
          <w:rFonts w:hint="eastAsia" w:asciiTheme="minorHAnsi" w:hAnsiTheme="minorEastAsia" w:eastAsiaTheme="minorEastAsia"/>
          <w:kern w:val="10"/>
          <w:sz w:val="30"/>
          <w:szCs w:val="30"/>
        </w:rPr>
        <w:t>）社区</w:t>
      </w:r>
      <w:r>
        <w:rPr>
          <w:rFonts w:hint="eastAsia" w:asciiTheme="minorHAnsi" w:hAnsiTheme="minorEastAsia" w:eastAsiaTheme="minorEastAsia"/>
          <w:kern w:val="10"/>
          <w:sz w:val="30"/>
          <w:szCs w:val="30"/>
          <w:lang w:eastAsia="zh-CN"/>
        </w:rPr>
        <w:t>经费</w:t>
      </w:r>
      <w:r>
        <w:rPr>
          <w:rFonts w:hint="eastAsia" w:asciiTheme="minorHAnsi" w:hAnsiTheme="minorEastAsia" w:eastAsiaTheme="minorEastAsia"/>
          <w:kern w:val="10"/>
          <w:sz w:val="30"/>
          <w:szCs w:val="30"/>
        </w:rPr>
        <w:t>，年初预算安排</w:t>
      </w:r>
      <w:r>
        <w:rPr>
          <w:rFonts w:hint="eastAsia" w:asciiTheme="minorHAnsi" w:hAnsiTheme="minorHAnsi" w:eastAsiaTheme="minorEastAsia"/>
          <w:kern w:val="10"/>
          <w:sz w:val="30"/>
          <w:szCs w:val="30"/>
          <w:lang w:val="en-US" w:eastAsia="zh-CN"/>
        </w:rPr>
        <w:t>120</w:t>
      </w:r>
      <w:r>
        <w:rPr>
          <w:rFonts w:hint="eastAsia" w:asciiTheme="minorHAnsi" w:hAnsiTheme="minorEastAsia" w:eastAsiaTheme="minorEastAsia"/>
          <w:kern w:val="10"/>
          <w:sz w:val="30"/>
          <w:szCs w:val="30"/>
        </w:rPr>
        <w:t>万元，主要用于</w:t>
      </w:r>
      <w:r>
        <w:rPr>
          <w:rFonts w:hint="eastAsia" w:asciiTheme="minorHAnsi" w:hAnsiTheme="minorEastAsia" w:eastAsiaTheme="minorEastAsia"/>
          <w:kern w:val="10"/>
          <w:sz w:val="30"/>
          <w:szCs w:val="30"/>
          <w:lang w:eastAsia="zh-CN"/>
        </w:rPr>
        <w:t>保障</w:t>
      </w:r>
      <w:r>
        <w:rPr>
          <w:rFonts w:hint="eastAsia" w:asciiTheme="minorHAnsi" w:hAnsiTheme="minorEastAsia" w:eastAsiaTheme="minorEastAsia"/>
          <w:kern w:val="10"/>
          <w:sz w:val="30"/>
          <w:szCs w:val="30"/>
        </w:rPr>
        <w:t>辖区内</w:t>
      </w:r>
      <w:r>
        <w:rPr>
          <w:rFonts w:hint="eastAsia" w:asciiTheme="minorHAnsi" w:hAnsiTheme="minorHAnsi" w:eastAsiaTheme="minorEastAsia"/>
          <w:kern w:val="10"/>
          <w:sz w:val="30"/>
          <w:szCs w:val="30"/>
        </w:rPr>
        <w:t>5</w:t>
      </w:r>
      <w:r>
        <w:rPr>
          <w:rFonts w:hint="eastAsia" w:asciiTheme="minorHAnsi" w:hAnsiTheme="minorEastAsia" w:eastAsiaTheme="minorEastAsia"/>
          <w:kern w:val="10"/>
          <w:sz w:val="30"/>
          <w:szCs w:val="30"/>
        </w:rPr>
        <w:t>个社区</w:t>
      </w:r>
      <w:r>
        <w:rPr>
          <w:rFonts w:hint="eastAsia" w:asciiTheme="minorHAnsi" w:hAnsiTheme="minorEastAsia" w:eastAsiaTheme="minorEastAsia"/>
          <w:kern w:val="10"/>
          <w:sz w:val="30"/>
          <w:szCs w:val="30"/>
          <w:lang w:eastAsia="zh-CN"/>
        </w:rPr>
        <w:t>正常运转，以及全年各项工作的顺利开展</w:t>
      </w:r>
      <w:r>
        <w:rPr>
          <w:rFonts w:hint="eastAsia" w:asciiTheme="minorHAnsi" w:hAnsiTheme="minorEastAsia" w:eastAsiaTheme="minorEastAsia"/>
          <w:kern w:val="10"/>
          <w:sz w:val="30"/>
          <w:szCs w:val="30"/>
        </w:rPr>
        <w:t>；</w:t>
      </w:r>
    </w:p>
    <w:p>
      <w:pPr>
        <w:ind w:firstLine="750" w:firstLineChars="250"/>
      </w:pPr>
      <w:r>
        <w:rPr>
          <w:rFonts w:hint="eastAsia" w:asciiTheme="minorHAnsi" w:hAnsiTheme="minorEastAsia" w:eastAsiaTheme="minorEastAsia"/>
          <w:kern w:val="10"/>
          <w:sz w:val="30"/>
          <w:szCs w:val="30"/>
          <w:lang w:val="en-US" w:eastAsia="zh-CN"/>
        </w:rPr>
        <w:t>2</w:t>
      </w:r>
      <w:r>
        <w:rPr>
          <w:rFonts w:hint="eastAsia" w:asciiTheme="minorHAnsi" w:hAnsiTheme="minorEastAsia" w:eastAsiaTheme="minorEastAsia"/>
          <w:kern w:val="10"/>
          <w:sz w:val="30"/>
          <w:szCs w:val="30"/>
        </w:rPr>
        <w:t>）社区惠民资金，年初预算安排</w:t>
      </w:r>
      <w:r>
        <w:rPr>
          <w:rFonts w:hint="eastAsia" w:asciiTheme="minorHAnsi" w:hAnsiTheme="minorHAnsi" w:eastAsiaTheme="minorEastAsia"/>
          <w:kern w:val="10"/>
          <w:sz w:val="30"/>
          <w:szCs w:val="30"/>
        </w:rPr>
        <w:t>100</w:t>
      </w:r>
      <w:r>
        <w:rPr>
          <w:rFonts w:hint="eastAsia" w:asciiTheme="minorHAnsi" w:hAnsiTheme="minorEastAsia" w:eastAsiaTheme="minorEastAsia"/>
          <w:kern w:val="10"/>
          <w:sz w:val="30"/>
          <w:szCs w:val="30"/>
        </w:rPr>
        <w:t>万元，主要用于辖区内</w:t>
      </w:r>
      <w:r>
        <w:rPr>
          <w:rFonts w:hint="eastAsia" w:asciiTheme="minorHAnsi" w:hAnsiTheme="minorHAnsi" w:eastAsiaTheme="minorEastAsia"/>
          <w:kern w:val="10"/>
          <w:sz w:val="30"/>
          <w:szCs w:val="30"/>
        </w:rPr>
        <w:t>5</w:t>
      </w:r>
      <w:r>
        <w:rPr>
          <w:rFonts w:hint="eastAsia" w:asciiTheme="minorHAnsi" w:hAnsiTheme="minorEastAsia" w:eastAsiaTheme="minorEastAsia"/>
          <w:kern w:val="10"/>
          <w:sz w:val="30"/>
          <w:szCs w:val="30"/>
        </w:rPr>
        <w:t>个社区开展好年内惠民项目支出；</w:t>
      </w:r>
    </w:p>
    <w:p>
      <w:pPr>
        <w:ind w:firstLine="750" w:firstLineChars="250"/>
        <w:rPr>
          <w:rFonts w:asciiTheme="minorHAnsi" w:hAnsiTheme="minorHAnsi" w:eastAsiaTheme="minorEastAsia"/>
          <w:kern w:val="10"/>
          <w:sz w:val="30"/>
          <w:szCs w:val="30"/>
        </w:rPr>
      </w:pPr>
      <w:r>
        <w:rPr>
          <w:rFonts w:hint="eastAsia" w:asciiTheme="minorHAnsi" w:hAnsiTheme="minorEastAsia" w:eastAsiaTheme="minorEastAsia"/>
          <w:kern w:val="10"/>
          <w:sz w:val="30"/>
          <w:szCs w:val="30"/>
          <w:lang w:val="en-US" w:eastAsia="zh-CN"/>
        </w:rPr>
        <w:t>3</w:t>
      </w:r>
      <w:r>
        <w:rPr>
          <w:rFonts w:hint="eastAsia" w:asciiTheme="minorHAnsi" w:hAnsiTheme="minorEastAsia" w:eastAsiaTheme="minorEastAsia"/>
          <w:kern w:val="10"/>
          <w:sz w:val="30"/>
          <w:szCs w:val="30"/>
        </w:rPr>
        <w:t>）村经费，年初预算安排</w:t>
      </w:r>
      <w:r>
        <w:rPr>
          <w:rFonts w:hint="eastAsia" w:asciiTheme="minorHAnsi" w:hAnsiTheme="minorHAnsi" w:eastAsiaTheme="minorEastAsia"/>
          <w:kern w:val="10"/>
          <w:sz w:val="30"/>
          <w:szCs w:val="30"/>
        </w:rPr>
        <w:t>100</w:t>
      </w:r>
      <w:r>
        <w:rPr>
          <w:rFonts w:hint="eastAsia" w:asciiTheme="minorHAnsi" w:hAnsiTheme="minorEastAsia" w:eastAsiaTheme="minorEastAsia"/>
          <w:kern w:val="10"/>
          <w:sz w:val="30"/>
          <w:szCs w:val="30"/>
        </w:rPr>
        <w:t>万元，主要用于</w:t>
      </w:r>
      <w:r>
        <w:rPr>
          <w:rFonts w:hint="eastAsia" w:asciiTheme="minorHAnsi" w:hAnsiTheme="minorEastAsia" w:eastAsiaTheme="minorEastAsia"/>
          <w:kern w:val="10"/>
          <w:sz w:val="30"/>
          <w:szCs w:val="30"/>
          <w:lang w:eastAsia="zh-CN"/>
        </w:rPr>
        <w:t>保障辖区内</w:t>
      </w:r>
      <w:r>
        <w:rPr>
          <w:rFonts w:hint="eastAsia" w:asciiTheme="minorHAnsi" w:hAnsiTheme="minorEastAsia" w:eastAsiaTheme="minorEastAsia"/>
          <w:kern w:val="10"/>
          <w:sz w:val="30"/>
          <w:szCs w:val="30"/>
        </w:rPr>
        <w:t>杉木村和东屯村</w:t>
      </w:r>
      <w:r>
        <w:rPr>
          <w:rFonts w:hint="eastAsia" w:asciiTheme="minorHAnsi" w:hAnsiTheme="minorEastAsia" w:eastAsiaTheme="minorEastAsia"/>
          <w:kern w:val="10"/>
          <w:sz w:val="30"/>
          <w:szCs w:val="30"/>
          <w:lang w:eastAsia="zh-CN"/>
        </w:rPr>
        <w:t>正常运转</w:t>
      </w:r>
      <w:r>
        <w:rPr>
          <w:rFonts w:hint="eastAsia" w:asciiTheme="minorHAnsi" w:hAnsiTheme="minorEastAsia" w:eastAsiaTheme="minorEastAsia"/>
          <w:kern w:val="10"/>
          <w:sz w:val="30"/>
          <w:szCs w:val="30"/>
        </w:rPr>
        <w:t>、</w:t>
      </w:r>
      <w:r>
        <w:rPr>
          <w:rFonts w:hint="eastAsia" w:asciiTheme="minorHAnsi" w:hAnsiTheme="minorEastAsia" w:eastAsiaTheme="minorEastAsia"/>
          <w:kern w:val="10"/>
          <w:sz w:val="30"/>
          <w:szCs w:val="30"/>
          <w:lang w:eastAsia="zh-CN"/>
        </w:rPr>
        <w:t>以及全年各项工作顺利开展</w:t>
      </w:r>
      <w:r>
        <w:rPr>
          <w:rFonts w:hint="eastAsia" w:asciiTheme="minorHAnsi" w:hAnsiTheme="minorEastAsia" w:eastAsiaTheme="minorEastAsia"/>
          <w:kern w:val="10"/>
          <w:sz w:val="30"/>
          <w:szCs w:val="30"/>
        </w:rPr>
        <w:t>；</w:t>
      </w:r>
    </w:p>
    <w:p>
      <w:pPr>
        <w:ind w:firstLine="750" w:firstLineChars="250"/>
        <w:rPr>
          <w:rFonts w:hint="eastAsia" w:asciiTheme="minorHAnsi" w:hAnsiTheme="minorEastAsia" w:eastAsiaTheme="minorEastAsia"/>
          <w:kern w:val="10"/>
          <w:sz w:val="30"/>
          <w:szCs w:val="30"/>
        </w:rPr>
      </w:pPr>
      <w:r>
        <w:rPr>
          <w:rFonts w:hint="eastAsia" w:asciiTheme="minorHAnsi" w:hAnsiTheme="minorEastAsia" w:eastAsiaTheme="minorEastAsia"/>
          <w:kern w:val="10"/>
          <w:sz w:val="30"/>
          <w:szCs w:val="30"/>
          <w:lang w:val="en-US" w:eastAsia="zh-CN"/>
        </w:rPr>
        <w:t>4</w:t>
      </w:r>
      <w:r>
        <w:rPr>
          <w:rFonts w:hint="eastAsia" w:asciiTheme="minorHAnsi" w:hAnsiTheme="minorEastAsia" w:eastAsiaTheme="minorEastAsia"/>
          <w:kern w:val="10"/>
          <w:sz w:val="30"/>
          <w:szCs w:val="30"/>
        </w:rPr>
        <w:t>）</w:t>
      </w:r>
      <w:r>
        <w:rPr>
          <w:rFonts w:hint="eastAsia" w:asciiTheme="minorHAnsi" w:hAnsiTheme="minorEastAsia" w:eastAsiaTheme="minorEastAsia"/>
          <w:kern w:val="10"/>
          <w:sz w:val="30"/>
          <w:szCs w:val="30"/>
          <w:lang w:eastAsia="zh-CN"/>
        </w:rPr>
        <w:t>环卫所经费</w:t>
      </w:r>
      <w:r>
        <w:rPr>
          <w:rFonts w:hint="eastAsia" w:asciiTheme="minorHAnsi" w:hAnsiTheme="minorEastAsia" w:eastAsiaTheme="minorEastAsia"/>
          <w:kern w:val="10"/>
          <w:sz w:val="30"/>
          <w:szCs w:val="30"/>
        </w:rPr>
        <w:t>，年初预算</w:t>
      </w:r>
      <w:r>
        <w:rPr>
          <w:rFonts w:hint="eastAsia" w:asciiTheme="minorHAnsi" w:hAnsiTheme="minorEastAsia" w:eastAsiaTheme="minorEastAsia"/>
          <w:kern w:val="10"/>
          <w:sz w:val="30"/>
          <w:szCs w:val="30"/>
          <w:lang w:eastAsia="zh-CN"/>
        </w:rPr>
        <w:t>安排</w:t>
      </w:r>
      <w:r>
        <w:rPr>
          <w:rFonts w:hint="eastAsia" w:asciiTheme="minorHAnsi" w:hAnsiTheme="minorEastAsia" w:eastAsiaTheme="minorEastAsia"/>
          <w:kern w:val="10"/>
          <w:sz w:val="30"/>
          <w:szCs w:val="30"/>
          <w:lang w:val="en-US" w:eastAsia="zh-CN"/>
        </w:rPr>
        <w:t>675.17</w:t>
      </w:r>
      <w:r>
        <w:rPr>
          <w:rFonts w:hint="eastAsia" w:asciiTheme="minorHAnsi" w:hAnsiTheme="minorEastAsia" w:eastAsiaTheme="minorEastAsia"/>
          <w:kern w:val="10"/>
          <w:sz w:val="30"/>
          <w:szCs w:val="30"/>
        </w:rPr>
        <w:t>万元，主要</w:t>
      </w:r>
      <w:r>
        <w:rPr>
          <w:rFonts w:hint="eastAsia" w:asciiTheme="minorHAnsi" w:hAnsiTheme="minorEastAsia" w:eastAsiaTheme="minorEastAsia"/>
          <w:kern w:val="10"/>
          <w:sz w:val="30"/>
          <w:szCs w:val="30"/>
          <w:lang w:eastAsia="zh-CN"/>
        </w:rPr>
        <w:t>用于维护辖区市容环境卫生干净和整洁；清理、清扫以及转运主次干道的垃圾堆物；维护公共设施（厕所、垃圾站、路面牌等）正常运转，提高辖区居民居住的舒适感与幸福感</w:t>
      </w:r>
      <w:r>
        <w:rPr>
          <w:rFonts w:hint="eastAsia" w:asciiTheme="minorHAnsi" w:hAnsiTheme="minorEastAsia" w:eastAsiaTheme="minorEastAsia"/>
          <w:kern w:val="10"/>
          <w:sz w:val="30"/>
          <w:szCs w:val="30"/>
        </w:rPr>
        <w:t>；</w:t>
      </w:r>
    </w:p>
    <w:p>
      <w:pPr>
        <w:ind w:firstLine="750" w:firstLineChars="250"/>
        <w:rPr>
          <w:rFonts w:asciiTheme="minorHAnsi" w:hAnsiTheme="minorHAnsi" w:eastAsiaTheme="minorEastAsia"/>
          <w:kern w:val="10"/>
          <w:sz w:val="30"/>
          <w:szCs w:val="30"/>
        </w:rPr>
      </w:pPr>
      <w:r>
        <w:rPr>
          <w:rFonts w:hint="eastAsia" w:asciiTheme="minorHAnsi" w:hAnsiTheme="minorEastAsia" w:eastAsiaTheme="minorEastAsia"/>
          <w:kern w:val="10"/>
          <w:sz w:val="30"/>
          <w:szCs w:val="30"/>
          <w:lang w:val="en-US" w:eastAsia="zh-CN"/>
        </w:rPr>
        <w:t>5</w:t>
      </w:r>
      <w:r>
        <w:rPr>
          <w:rFonts w:hint="eastAsia" w:asciiTheme="minorHAnsi" w:hAnsiTheme="minorEastAsia" w:eastAsiaTheme="minorEastAsia"/>
          <w:kern w:val="10"/>
          <w:sz w:val="30"/>
          <w:szCs w:val="30"/>
        </w:rPr>
        <w:t>）综合运转经费，年初预算安排</w:t>
      </w:r>
      <w:r>
        <w:rPr>
          <w:rFonts w:hint="eastAsia" w:asciiTheme="minorHAnsi" w:hAnsiTheme="minorHAnsi" w:eastAsiaTheme="minorEastAsia"/>
          <w:kern w:val="10"/>
          <w:sz w:val="30"/>
          <w:szCs w:val="30"/>
          <w:lang w:val="en-US" w:eastAsia="zh-CN"/>
        </w:rPr>
        <w:t>2744.1</w:t>
      </w:r>
      <w:r>
        <w:rPr>
          <w:rFonts w:hint="eastAsia" w:asciiTheme="minorHAnsi" w:hAnsiTheme="minorEastAsia" w:eastAsiaTheme="minorEastAsia"/>
          <w:kern w:val="10"/>
          <w:sz w:val="30"/>
          <w:szCs w:val="30"/>
        </w:rPr>
        <w:t>万元，主要</w:t>
      </w:r>
      <w:r>
        <w:rPr>
          <w:rFonts w:hint="eastAsia" w:asciiTheme="minorHAnsi" w:hAnsiTheme="minorEastAsia" w:eastAsiaTheme="minorEastAsia"/>
          <w:kern w:val="10"/>
          <w:sz w:val="30"/>
          <w:szCs w:val="30"/>
          <w:lang w:eastAsia="zh-CN"/>
        </w:rPr>
        <w:t>用于</w:t>
      </w:r>
      <w:r>
        <w:rPr>
          <w:rFonts w:hint="eastAsia" w:asciiTheme="minorHAnsi" w:hAnsiTheme="minorEastAsia" w:eastAsiaTheme="minorEastAsia"/>
          <w:kern w:val="10"/>
          <w:sz w:val="30"/>
          <w:szCs w:val="30"/>
        </w:rPr>
        <w:t>保证街道党建、人大、政协、公安、安全生产、食品安全、退役军人事务、工青妇等条线工作</w:t>
      </w:r>
      <w:r>
        <w:rPr>
          <w:rFonts w:hint="eastAsia" w:asciiTheme="minorHAnsi" w:hAnsiTheme="minorEastAsia" w:eastAsiaTheme="minorEastAsia"/>
          <w:kern w:val="10"/>
          <w:sz w:val="30"/>
          <w:szCs w:val="30"/>
          <w:lang w:eastAsia="zh-CN"/>
        </w:rPr>
        <w:t>正常</w:t>
      </w:r>
      <w:r>
        <w:rPr>
          <w:rFonts w:hint="eastAsia" w:asciiTheme="minorHAnsi" w:hAnsiTheme="minorEastAsia" w:eastAsiaTheme="minorEastAsia"/>
          <w:kern w:val="10"/>
          <w:sz w:val="30"/>
          <w:szCs w:val="30"/>
        </w:rPr>
        <w:t>开展</w:t>
      </w:r>
      <w:r>
        <w:rPr>
          <w:rFonts w:hint="eastAsia" w:asciiTheme="minorHAnsi" w:hAnsiTheme="minorEastAsia" w:eastAsiaTheme="minorEastAsia"/>
          <w:kern w:val="10"/>
          <w:sz w:val="30"/>
          <w:szCs w:val="30"/>
          <w:lang w:eastAsia="zh-CN"/>
        </w:rPr>
        <w:t>，以及国有资产租金和拆迁经费返还</w:t>
      </w:r>
      <w:r>
        <w:rPr>
          <w:rFonts w:hint="eastAsia" w:asciiTheme="minorHAnsi" w:hAnsiTheme="minorEastAsia" w:eastAsiaTheme="minorEastAsia"/>
          <w:kern w:val="10"/>
          <w:sz w:val="30"/>
          <w:szCs w:val="30"/>
        </w:rPr>
        <w:t>。</w:t>
      </w:r>
    </w:p>
    <w:p>
      <w:pPr>
        <w:pStyle w:val="5"/>
        <w:spacing w:line="240" w:lineRule="auto"/>
        <w:ind w:left="0" w:leftChars="0" w:firstLine="567" w:firstLineChars="189"/>
        <w:rPr>
          <w:rFonts w:asciiTheme="minorHAnsi" w:hAnsiTheme="minorHAnsi" w:eastAsiaTheme="minorEastAsia"/>
          <w:color w:val="000000" w:themeColor="text1"/>
          <w:kern w:val="10"/>
          <w:sz w:val="30"/>
          <w:szCs w:val="30"/>
        </w:rPr>
      </w:pPr>
      <w:r>
        <w:rPr>
          <w:rFonts w:hint="eastAsia" w:asciiTheme="minorHAnsi" w:hAnsiTheme="minorHAnsi" w:eastAsiaTheme="minorEastAsia"/>
          <w:color w:val="000000" w:themeColor="text1"/>
          <w:kern w:val="10"/>
          <w:sz w:val="30"/>
          <w:szCs w:val="30"/>
        </w:rPr>
        <w:t>2、</w:t>
      </w:r>
      <w:r>
        <w:rPr>
          <w:rFonts w:hint="eastAsia" w:asciiTheme="minorHAnsi" w:hAnsiTheme="minorEastAsia" w:eastAsiaTheme="minorEastAsia"/>
          <w:color w:val="000000" w:themeColor="text1"/>
          <w:kern w:val="10"/>
          <w:sz w:val="30"/>
          <w:szCs w:val="30"/>
        </w:rPr>
        <w:t>我街道</w:t>
      </w:r>
      <w:r>
        <w:rPr>
          <w:rFonts w:hint="eastAsia" w:asciiTheme="minorHAnsi" w:hAnsiTheme="minorHAnsi" w:eastAsiaTheme="minorEastAsia"/>
          <w:color w:val="000000" w:themeColor="text1"/>
          <w:kern w:val="10"/>
          <w:sz w:val="30"/>
          <w:szCs w:val="30"/>
        </w:rPr>
        <w:t>202</w:t>
      </w:r>
      <w:r>
        <w:rPr>
          <w:rFonts w:hint="eastAsia" w:asciiTheme="minorHAnsi" w:hAnsiTheme="minorHAnsi" w:eastAsiaTheme="minorEastAsia"/>
          <w:color w:val="000000" w:themeColor="text1"/>
          <w:kern w:val="10"/>
          <w:sz w:val="30"/>
          <w:szCs w:val="30"/>
          <w:lang w:val="en-US" w:eastAsia="zh-CN"/>
        </w:rPr>
        <w:t>2</w:t>
      </w:r>
      <w:r>
        <w:rPr>
          <w:rFonts w:hint="eastAsia" w:asciiTheme="minorHAnsi" w:hAnsiTheme="minorEastAsia" w:eastAsiaTheme="minorEastAsia"/>
          <w:color w:val="000000" w:themeColor="text1"/>
          <w:kern w:val="10"/>
          <w:sz w:val="30"/>
          <w:szCs w:val="30"/>
        </w:rPr>
        <w:t>年项目资金（主要是指财政资金）实际支出总额为</w:t>
      </w:r>
      <w:r>
        <w:rPr>
          <w:rFonts w:hint="eastAsia" w:asciiTheme="minorHAnsi" w:hAnsiTheme="minorHAnsi" w:eastAsiaTheme="minorEastAsia"/>
          <w:color w:val="000000" w:themeColor="text1"/>
          <w:kern w:val="10"/>
          <w:sz w:val="30"/>
          <w:szCs w:val="30"/>
          <w:lang w:val="en-US" w:eastAsia="zh-CN"/>
        </w:rPr>
        <w:t>4043.39</w:t>
      </w:r>
      <w:r>
        <w:rPr>
          <w:rFonts w:hint="eastAsia" w:asciiTheme="minorHAnsi" w:hAnsiTheme="minorEastAsia" w:eastAsiaTheme="minorEastAsia"/>
          <w:color w:val="000000" w:themeColor="text1"/>
          <w:kern w:val="10"/>
          <w:sz w:val="30"/>
          <w:szCs w:val="30"/>
        </w:rPr>
        <w:t>万元。项目实际使用情况按功能科目分析如下：</w:t>
      </w:r>
      <w:r>
        <w:rPr>
          <w:rFonts w:hint="eastAsia" w:asciiTheme="minorHAnsi" w:hAnsiTheme="minorEastAsia" w:eastAsiaTheme="minorEastAsia"/>
          <w:color w:val="000000" w:themeColor="text1"/>
          <w:kern w:val="10"/>
          <w:sz w:val="30"/>
          <w:szCs w:val="30"/>
          <w:lang w:eastAsia="zh-CN"/>
        </w:rPr>
        <w:t>信访事务支出</w:t>
      </w:r>
      <w:r>
        <w:rPr>
          <w:rFonts w:hint="eastAsia" w:asciiTheme="minorHAnsi" w:hAnsiTheme="minorHAnsi" w:eastAsiaTheme="minorEastAsia"/>
          <w:color w:val="000000" w:themeColor="text1"/>
          <w:kern w:val="10"/>
          <w:sz w:val="30"/>
          <w:szCs w:val="30"/>
          <w:lang w:val="en-US" w:eastAsia="zh-CN"/>
        </w:rPr>
        <w:t>33.57</w:t>
      </w:r>
      <w:r>
        <w:rPr>
          <w:rFonts w:hint="eastAsia" w:asciiTheme="minorHAnsi" w:hAnsiTheme="minorEastAsia" w:eastAsiaTheme="minorEastAsia"/>
          <w:color w:val="000000" w:themeColor="text1"/>
          <w:kern w:val="10"/>
          <w:sz w:val="30"/>
          <w:szCs w:val="30"/>
        </w:rPr>
        <w:t>万元，占比</w:t>
      </w:r>
      <w:r>
        <w:rPr>
          <w:rFonts w:hint="eastAsia" w:asciiTheme="minorHAnsi" w:hAnsiTheme="minorHAnsi" w:eastAsiaTheme="minorEastAsia"/>
          <w:color w:val="000000" w:themeColor="text1"/>
          <w:kern w:val="10"/>
          <w:sz w:val="30"/>
          <w:szCs w:val="30"/>
          <w:lang w:val="en-US" w:eastAsia="zh-CN"/>
        </w:rPr>
        <w:t>0.83</w:t>
      </w:r>
      <w:r>
        <w:rPr>
          <w:rFonts w:hint="eastAsia" w:asciiTheme="minorHAnsi" w:hAnsiTheme="minorHAnsi" w:eastAsiaTheme="minorEastAsia"/>
          <w:color w:val="000000" w:themeColor="text1"/>
          <w:kern w:val="10"/>
          <w:sz w:val="30"/>
          <w:szCs w:val="30"/>
        </w:rPr>
        <w:t>%</w:t>
      </w:r>
      <w:r>
        <w:rPr>
          <w:rFonts w:hint="eastAsia" w:asciiTheme="minorHAnsi" w:hAnsiTheme="minorEastAsia" w:eastAsiaTheme="minorEastAsia"/>
          <w:color w:val="000000" w:themeColor="text1"/>
          <w:kern w:val="10"/>
          <w:sz w:val="30"/>
          <w:szCs w:val="30"/>
        </w:rPr>
        <w:t>；</w:t>
      </w:r>
      <w:r>
        <w:rPr>
          <w:rFonts w:hint="eastAsia" w:asciiTheme="minorHAnsi" w:hAnsiTheme="minorEastAsia" w:eastAsiaTheme="minorEastAsia"/>
          <w:color w:val="000000" w:themeColor="text1"/>
          <w:kern w:val="10"/>
          <w:sz w:val="30"/>
          <w:szCs w:val="30"/>
          <w:lang w:eastAsia="zh-CN"/>
        </w:rPr>
        <w:t>一般行政管理事务支出</w:t>
      </w:r>
      <w:r>
        <w:rPr>
          <w:rFonts w:hint="eastAsia" w:asciiTheme="minorHAnsi" w:hAnsiTheme="minorEastAsia" w:eastAsiaTheme="minorEastAsia"/>
          <w:color w:val="000000" w:themeColor="text1"/>
          <w:kern w:val="10"/>
          <w:sz w:val="30"/>
          <w:szCs w:val="30"/>
          <w:lang w:val="en-US" w:eastAsia="zh-CN"/>
        </w:rPr>
        <w:t>4</w:t>
      </w:r>
      <w:r>
        <w:rPr>
          <w:rFonts w:hint="eastAsia" w:asciiTheme="minorHAnsi" w:hAnsiTheme="minorEastAsia" w:eastAsiaTheme="minorEastAsia"/>
          <w:color w:val="000000" w:themeColor="text1"/>
          <w:kern w:val="10"/>
          <w:sz w:val="30"/>
          <w:szCs w:val="30"/>
        </w:rPr>
        <w:t>万元，占比</w:t>
      </w:r>
      <w:r>
        <w:rPr>
          <w:rFonts w:hint="eastAsia" w:asciiTheme="minorHAnsi" w:hAnsiTheme="minorHAnsi" w:eastAsiaTheme="minorEastAsia"/>
          <w:color w:val="000000" w:themeColor="text1"/>
          <w:kern w:val="10"/>
          <w:sz w:val="30"/>
          <w:szCs w:val="30"/>
          <w:lang w:val="en-US" w:eastAsia="zh-CN"/>
        </w:rPr>
        <w:t>0.1</w:t>
      </w:r>
      <w:r>
        <w:rPr>
          <w:rFonts w:hint="eastAsia" w:asciiTheme="minorHAnsi" w:hAnsiTheme="minorHAnsi" w:eastAsiaTheme="minorEastAsia"/>
          <w:color w:val="000000" w:themeColor="text1"/>
          <w:kern w:val="10"/>
          <w:sz w:val="30"/>
          <w:szCs w:val="30"/>
        </w:rPr>
        <w:t>%</w:t>
      </w:r>
      <w:r>
        <w:rPr>
          <w:rFonts w:hint="eastAsia" w:asciiTheme="minorHAnsi" w:hAnsiTheme="minorEastAsia" w:eastAsiaTheme="minorEastAsia"/>
          <w:color w:val="000000" w:themeColor="text1"/>
          <w:kern w:val="10"/>
          <w:sz w:val="30"/>
          <w:szCs w:val="30"/>
        </w:rPr>
        <w:t>；</w:t>
      </w:r>
      <w:r>
        <w:rPr>
          <w:rFonts w:hint="eastAsia" w:asciiTheme="minorHAnsi" w:hAnsiTheme="minorHAnsi" w:eastAsiaTheme="minorEastAsia"/>
          <w:color w:val="000000" w:themeColor="text1"/>
          <w:kern w:val="10"/>
          <w:sz w:val="30"/>
          <w:szCs w:val="30"/>
          <w:lang w:eastAsia="zh-CN"/>
        </w:rPr>
        <w:t>其他商贸事务支出</w:t>
      </w:r>
      <w:r>
        <w:rPr>
          <w:rFonts w:hint="eastAsia" w:asciiTheme="minorHAnsi" w:hAnsiTheme="minorHAnsi" w:eastAsiaTheme="minorEastAsia"/>
          <w:color w:val="000000" w:themeColor="text1"/>
          <w:kern w:val="10"/>
          <w:sz w:val="30"/>
          <w:szCs w:val="30"/>
          <w:lang w:val="en-US" w:eastAsia="zh-CN"/>
        </w:rPr>
        <w:t>15</w:t>
      </w:r>
      <w:r>
        <w:rPr>
          <w:rFonts w:hint="eastAsia" w:asciiTheme="minorHAnsi" w:hAnsiTheme="minorEastAsia" w:eastAsiaTheme="minorEastAsia"/>
          <w:color w:val="000000" w:themeColor="text1"/>
          <w:kern w:val="10"/>
          <w:sz w:val="30"/>
          <w:szCs w:val="30"/>
        </w:rPr>
        <w:t>万元，占比</w:t>
      </w:r>
      <w:r>
        <w:rPr>
          <w:rFonts w:hint="eastAsia" w:asciiTheme="minorHAnsi" w:hAnsiTheme="minorHAnsi" w:eastAsiaTheme="minorEastAsia"/>
          <w:color w:val="000000" w:themeColor="text1"/>
          <w:kern w:val="10"/>
          <w:sz w:val="30"/>
          <w:szCs w:val="30"/>
        </w:rPr>
        <w:t>0.</w:t>
      </w:r>
      <w:r>
        <w:rPr>
          <w:rFonts w:hint="eastAsia" w:asciiTheme="minorHAnsi" w:hAnsiTheme="minorHAnsi" w:eastAsiaTheme="minorEastAsia"/>
          <w:color w:val="000000" w:themeColor="text1"/>
          <w:kern w:val="10"/>
          <w:sz w:val="30"/>
          <w:szCs w:val="30"/>
          <w:lang w:val="en-US" w:eastAsia="zh-CN"/>
        </w:rPr>
        <w:t>37</w:t>
      </w:r>
      <w:r>
        <w:rPr>
          <w:rFonts w:hint="eastAsia" w:asciiTheme="minorHAnsi" w:hAnsiTheme="minorHAnsi" w:eastAsiaTheme="minorEastAsia"/>
          <w:color w:val="000000" w:themeColor="text1"/>
          <w:kern w:val="10"/>
          <w:sz w:val="30"/>
          <w:szCs w:val="30"/>
        </w:rPr>
        <w:t>%</w:t>
      </w:r>
      <w:r>
        <w:rPr>
          <w:rFonts w:hint="eastAsia" w:asciiTheme="minorHAnsi" w:hAnsiTheme="minorEastAsia" w:eastAsiaTheme="minorEastAsia"/>
          <w:color w:val="000000" w:themeColor="text1"/>
          <w:kern w:val="10"/>
          <w:sz w:val="30"/>
          <w:szCs w:val="30"/>
        </w:rPr>
        <w:t>；</w:t>
      </w:r>
      <w:r>
        <w:rPr>
          <w:rFonts w:hint="eastAsia" w:asciiTheme="minorHAnsi" w:hAnsiTheme="minorEastAsia" w:eastAsiaTheme="minorEastAsia"/>
          <w:color w:val="000000" w:themeColor="text1"/>
          <w:kern w:val="10"/>
          <w:sz w:val="30"/>
          <w:szCs w:val="30"/>
          <w:lang w:eastAsia="zh-CN"/>
        </w:rPr>
        <w:t>基层政权建设和治理支出</w:t>
      </w:r>
      <w:r>
        <w:rPr>
          <w:rFonts w:hint="eastAsia" w:asciiTheme="minorHAnsi" w:hAnsiTheme="minorEastAsia" w:eastAsiaTheme="minorEastAsia"/>
          <w:color w:val="000000" w:themeColor="text1"/>
          <w:kern w:val="10"/>
          <w:sz w:val="30"/>
          <w:szCs w:val="30"/>
          <w:lang w:val="en-US" w:eastAsia="zh-CN"/>
        </w:rPr>
        <w:t>225.4万元，占比5.58%；</w:t>
      </w:r>
      <w:r>
        <w:rPr>
          <w:rFonts w:hint="eastAsia" w:asciiTheme="minorHAnsi" w:hAnsiTheme="minorEastAsia" w:eastAsiaTheme="minorEastAsia"/>
          <w:color w:val="000000" w:themeColor="text1"/>
          <w:kern w:val="10"/>
          <w:sz w:val="30"/>
          <w:szCs w:val="30"/>
          <w:lang w:eastAsia="zh-CN"/>
        </w:rPr>
        <w:t>其他民政管理事务支出</w:t>
      </w:r>
      <w:r>
        <w:rPr>
          <w:rFonts w:hint="eastAsia" w:asciiTheme="minorHAnsi" w:hAnsiTheme="minorEastAsia" w:eastAsiaTheme="minorEastAsia"/>
          <w:color w:val="000000" w:themeColor="text1"/>
          <w:kern w:val="10"/>
          <w:sz w:val="30"/>
          <w:szCs w:val="30"/>
          <w:lang w:val="en-US" w:eastAsia="zh-CN"/>
        </w:rPr>
        <w:t>8</w:t>
      </w:r>
      <w:r>
        <w:rPr>
          <w:rFonts w:hint="eastAsia" w:asciiTheme="minorHAnsi" w:hAnsiTheme="minorEastAsia" w:eastAsiaTheme="minorEastAsia"/>
          <w:color w:val="000000" w:themeColor="text1"/>
          <w:kern w:val="10"/>
          <w:sz w:val="30"/>
          <w:szCs w:val="30"/>
        </w:rPr>
        <w:t>万元，占比</w:t>
      </w:r>
      <w:r>
        <w:rPr>
          <w:rFonts w:hint="eastAsia" w:asciiTheme="minorHAnsi" w:hAnsiTheme="minorHAnsi" w:eastAsiaTheme="minorEastAsia"/>
          <w:color w:val="000000" w:themeColor="text1"/>
          <w:kern w:val="10"/>
          <w:sz w:val="30"/>
          <w:szCs w:val="30"/>
        </w:rPr>
        <w:t>0.</w:t>
      </w:r>
      <w:r>
        <w:rPr>
          <w:rFonts w:hint="eastAsia" w:asciiTheme="minorHAnsi" w:hAnsiTheme="minorHAnsi" w:eastAsiaTheme="minorEastAsia"/>
          <w:color w:val="000000" w:themeColor="text1"/>
          <w:kern w:val="10"/>
          <w:sz w:val="30"/>
          <w:szCs w:val="30"/>
          <w:lang w:val="en-US" w:eastAsia="zh-CN"/>
        </w:rPr>
        <w:t>2</w:t>
      </w:r>
      <w:r>
        <w:rPr>
          <w:rFonts w:hint="eastAsia" w:asciiTheme="minorHAnsi" w:hAnsiTheme="minorHAnsi" w:eastAsiaTheme="minorEastAsia"/>
          <w:color w:val="000000" w:themeColor="text1"/>
          <w:kern w:val="10"/>
          <w:sz w:val="30"/>
          <w:szCs w:val="30"/>
        </w:rPr>
        <w:t>%</w:t>
      </w:r>
      <w:r>
        <w:rPr>
          <w:rFonts w:hint="eastAsia" w:asciiTheme="minorHAnsi" w:hAnsiTheme="minorEastAsia" w:eastAsiaTheme="minorEastAsia"/>
          <w:color w:val="000000" w:themeColor="text1"/>
          <w:kern w:val="10"/>
          <w:sz w:val="30"/>
          <w:szCs w:val="30"/>
        </w:rPr>
        <w:t>；</w:t>
      </w:r>
      <w:r>
        <w:rPr>
          <w:rFonts w:hint="eastAsia" w:asciiTheme="minorHAnsi" w:hAnsiTheme="minorEastAsia" w:eastAsiaTheme="minorEastAsia"/>
          <w:color w:val="000000" w:themeColor="text1"/>
          <w:kern w:val="10"/>
          <w:sz w:val="30"/>
          <w:szCs w:val="30"/>
          <w:lang w:eastAsia="zh-CN"/>
        </w:rPr>
        <w:t>重大公共卫生服务支出</w:t>
      </w:r>
      <w:r>
        <w:rPr>
          <w:rFonts w:hint="eastAsia" w:asciiTheme="minorHAnsi" w:hAnsiTheme="minorEastAsia" w:eastAsiaTheme="minorEastAsia"/>
          <w:color w:val="000000" w:themeColor="text1"/>
          <w:kern w:val="10"/>
          <w:sz w:val="30"/>
          <w:szCs w:val="30"/>
          <w:lang w:val="en-US" w:eastAsia="zh-CN"/>
        </w:rPr>
        <w:t>50万元，占比1.24%；</w:t>
      </w:r>
      <w:r>
        <w:rPr>
          <w:rFonts w:hint="eastAsia" w:asciiTheme="minorHAnsi" w:hAnsiTheme="minorEastAsia" w:eastAsiaTheme="minorEastAsia"/>
          <w:color w:val="000000" w:themeColor="text1"/>
          <w:kern w:val="10"/>
          <w:sz w:val="30"/>
          <w:szCs w:val="30"/>
          <w:lang w:eastAsia="zh-CN"/>
        </w:rPr>
        <w:t>突发公共卫生事件应急处理支出</w:t>
      </w:r>
      <w:r>
        <w:rPr>
          <w:rFonts w:hint="eastAsia" w:asciiTheme="minorHAnsi" w:hAnsiTheme="minorHAnsi" w:eastAsiaTheme="minorEastAsia"/>
          <w:color w:val="000000" w:themeColor="text1"/>
          <w:kern w:val="10"/>
          <w:sz w:val="30"/>
          <w:szCs w:val="30"/>
        </w:rPr>
        <w:t>4</w:t>
      </w:r>
      <w:r>
        <w:rPr>
          <w:rFonts w:hint="eastAsia" w:asciiTheme="minorHAnsi" w:hAnsiTheme="minorHAnsi" w:eastAsiaTheme="minorEastAsia"/>
          <w:color w:val="000000" w:themeColor="text1"/>
          <w:kern w:val="10"/>
          <w:sz w:val="30"/>
          <w:szCs w:val="30"/>
          <w:lang w:val="en-US" w:eastAsia="zh-CN"/>
        </w:rPr>
        <w:t>49.68</w:t>
      </w:r>
      <w:r>
        <w:rPr>
          <w:rFonts w:hint="eastAsia" w:asciiTheme="minorHAnsi" w:hAnsiTheme="minorEastAsia" w:eastAsiaTheme="minorEastAsia"/>
          <w:color w:val="000000" w:themeColor="text1"/>
          <w:kern w:val="10"/>
          <w:sz w:val="30"/>
          <w:szCs w:val="30"/>
        </w:rPr>
        <w:t>万元，占比</w:t>
      </w:r>
      <w:r>
        <w:rPr>
          <w:rFonts w:hint="eastAsia" w:asciiTheme="minorHAnsi" w:hAnsiTheme="minorHAnsi" w:eastAsiaTheme="minorEastAsia"/>
          <w:color w:val="000000" w:themeColor="text1"/>
          <w:kern w:val="10"/>
          <w:sz w:val="30"/>
          <w:szCs w:val="30"/>
          <w:lang w:val="en-US" w:eastAsia="zh-CN"/>
        </w:rPr>
        <w:t>11.12</w:t>
      </w:r>
      <w:r>
        <w:rPr>
          <w:rFonts w:hint="eastAsia" w:asciiTheme="minorHAnsi" w:hAnsiTheme="minorHAnsi" w:eastAsiaTheme="minorEastAsia"/>
          <w:color w:val="000000" w:themeColor="text1"/>
          <w:kern w:val="10"/>
          <w:sz w:val="30"/>
          <w:szCs w:val="30"/>
        </w:rPr>
        <w:t>%</w:t>
      </w:r>
      <w:r>
        <w:rPr>
          <w:rFonts w:hint="eastAsia" w:asciiTheme="minorHAnsi" w:hAnsiTheme="minorEastAsia" w:eastAsiaTheme="minorEastAsia"/>
          <w:color w:val="000000" w:themeColor="text1"/>
          <w:kern w:val="10"/>
          <w:sz w:val="30"/>
          <w:szCs w:val="30"/>
        </w:rPr>
        <w:t>；</w:t>
      </w:r>
      <w:r>
        <w:rPr>
          <w:rFonts w:hint="eastAsia" w:asciiTheme="minorHAnsi" w:hAnsiTheme="minorEastAsia" w:eastAsiaTheme="minorEastAsia"/>
          <w:color w:val="000000" w:themeColor="text1"/>
          <w:kern w:val="10"/>
          <w:sz w:val="30"/>
          <w:szCs w:val="30"/>
          <w:lang w:eastAsia="zh-CN"/>
        </w:rPr>
        <w:t>其他城乡社区管理事务支出</w:t>
      </w:r>
      <w:r>
        <w:rPr>
          <w:rFonts w:hint="eastAsia" w:asciiTheme="minorHAnsi" w:hAnsiTheme="minorHAnsi" w:eastAsiaTheme="minorEastAsia"/>
          <w:color w:val="000000" w:themeColor="text1"/>
          <w:kern w:val="10"/>
          <w:sz w:val="30"/>
          <w:szCs w:val="30"/>
          <w:lang w:val="en-US" w:eastAsia="zh-CN"/>
        </w:rPr>
        <w:t>2301.95</w:t>
      </w:r>
      <w:r>
        <w:rPr>
          <w:rFonts w:hint="eastAsia" w:asciiTheme="minorHAnsi" w:hAnsiTheme="minorEastAsia" w:eastAsiaTheme="minorEastAsia"/>
          <w:color w:val="000000" w:themeColor="text1"/>
          <w:kern w:val="10"/>
          <w:sz w:val="30"/>
          <w:szCs w:val="30"/>
        </w:rPr>
        <w:t>万元，占比</w:t>
      </w:r>
      <w:r>
        <w:rPr>
          <w:rFonts w:hint="eastAsia" w:asciiTheme="minorHAnsi" w:hAnsiTheme="minorEastAsia" w:eastAsiaTheme="minorEastAsia"/>
          <w:color w:val="000000" w:themeColor="text1"/>
          <w:kern w:val="10"/>
          <w:sz w:val="30"/>
          <w:szCs w:val="30"/>
          <w:lang w:val="en-US" w:eastAsia="zh-CN"/>
        </w:rPr>
        <w:t>56.93%</w:t>
      </w:r>
      <w:r>
        <w:rPr>
          <w:rFonts w:hint="eastAsia" w:asciiTheme="minorHAnsi" w:hAnsiTheme="minorEastAsia" w:eastAsiaTheme="minorEastAsia"/>
          <w:color w:val="000000" w:themeColor="text1"/>
          <w:kern w:val="10"/>
          <w:sz w:val="30"/>
          <w:szCs w:val="30"/>
        </w:rPr>
        <w:t>；其他城乡社区公共设施支出</w:t>
      </w:r>
      <w:r>
        <w:rPr>
          <w:rFonts w:hint="eastAsia" w:asciiTheme="minorHAnsi" w:hAnsiTheme="minorHAnsi" w:eastAsiaTheme="minorEastAsia"/>
          <w:color w:val="000000" w:themeColor="text1"/>
          <w:kern w:val="10"/>
          <w:sz w:val="30"/>
          <w:szCs w:val="30"/>
          <w:lang w:val="en-US" w:eastAsia="zh-CN"/>
        </w:rPr>
        <w:t>18.71</w:t>
      </w:r>
      <w:r>
        <w:rPr>
          <w:rFonts w:hint="eastAsia" w:asciiTheme="minorHAnsi" w:hAnsiTheme="minorEastAsia" w:eastAsiaTheme="minorEastAsia"/>
          <w:color w:val="000000" w:themeColor="text1"/>
          <w:kern w:val="10"/>
          <w:sz w:val="30"/>
          <w:szCs w:val="30"/>
        </w:rPr>
        <w:t>万元，占比</w:t>
      </w:r>
      <w:r>
        <w:rPr>
          <w:rFonts w:hint="eastAsia" w:asciiTheme="minorHAnsi" w:hAnsiTheme="minorHAnsi" w:eastAsiaTheme="minorEastAsia"/>
          <w:color w:val="000000" w:themeColor="text1"/>
          <w:kern w:val="10"/>
          <w:sz w:val="30"/>
          <w:szCs w:val="30"/>
          <w:lang w:val="en-US" w:eastAsia="zh-CN"/>
        </w:rPr>
        <w:t>0.46</w:t>
      </w:r>
      <w:r>
        <w:rPr>
          <w:rFonts w:hint="eastAsia" w:asciiTheme="minorHAnsi" w:hAnsiTheme="minorHAnsi" w:eastAsiaTheme="minorEastAsia"/>
          <w:color w:val="000000" w:themeColor="text1"/>
          <w:kern w:val="10"/>
          <w:sz w:val="30"/>
          <w:szCs w:val="30"/>
        </w:rPr>
        <w:t>%</w:t>
      </w:r>
      <w:r>
        <w:rPr>
          <w:rFonts w:hint="eastAsia" w:asciiTheme="minorHAnsi" w:hAnsiTheme="minorEastAsia" w:eastAsiaTheme="minorEastAsia"/>
          <w:color w:val="000000" w:themeColor="text1"/>
          <w:kern w:val="10"/>
          <w:sz w:val="30"/>
          <w:szCs w:val="30"/>
        </w:rPr>
        <w:t>；</w:t>
      </w:r>
      <w:r>
        <w:rPr>
          <w:rFonts w:hint="eastAsia" w:asciiTheme="minorHAnsi" w:hAnsiTheme="minorEastAsia" w:eastAsiaTheme="minorEastAsia"/>
          <w:color w:val="000000" w:themeColor="text1"/>
          <w:kern w:val="10"/>
          <w:sz w:val="30"/>
          <w:szCs w:val="30"/>
          <w:lang w:eastAsia="zh-CN"/>
        </w:rPr>
        <w:t>城乡社区环境卫生支出</w:t>
      </w:r>
      <w:r>
        <w:rPr>
          <w:rFonts w:hint="eastAsia" w:asciiTheme="minorHAnsi" w:hAnsiTheme="minorEastAsia" w:eastAsiaTheme="minorEastAsia"/>
          <w:color w:val="000000" w:themeColor="text1"/>
          <w:kern w:val="10"/>
          <w:sz w:val="30"/>
          <w:szCs w:val="30"/>
          <w:lang w:val="en-US" w:eastAsia="zh-CN"/>
        </w:rPr>
        <w:t>677.72</w:t>
      </w:r>
      <w:r>
        <w:rPr>
          <w:rFonts w:hint="eastAsia" w:asciiTheme="minorHAnsi" w:hAnsiTheme="minorEastAsia" w:eastAsiaTheme="minorEastAsia"/>
          <w:color w:val="000000" w:themeColor="text1"/>
          <w:kern w:val="10"/>
          <w:sz w:val="30"/>
          <w:szCs w:val="30"/>
        </w:rPr>
        <w:t>万元，占比</w:t>
      </w:r>
      <w:r>
        <w:rPr>
          <w:rFonts w:hint="eastAsia" w:asciiTheme="minorHAnsi" w:hAnsiTheme="minorHAnsi" w:eastAsiaTheme="minorEastAsia"/>
          <w:color w:val="000000" w:themeColor="text1"/>
          <w:kern w:val="10"/>
          <w:sz w:val="30"/>
          <w:szCs w:val="30"/>
          <w:lang w:val="en-US" w:eastAsia="zh-CN"/>
        </w:rPr>
        <w:t>16.76</w:t>
      </w:r>
      <w:r>
        <w:rPr>
          <w:rFonts w:hint="eastAsia" w:asciiTheme="minorHAnsi" w:hAnsiTheme="minorHAnsi" w:eastAsiaTheme="minorEastAsia"/>
          <w:color w:val="000000" w:themeColor="text1"/>
          <w:kern w:val="10"/>
          <w:sz w:val="30"/>
          <w:szCs w:val="30"/>
        </w:rPr>
        <w:t>%</w:t>
      </w:r>
      <w:r>
        <w:rPr>
          <w:rFonts w:hint="eastAsia" w:asciiTheme="minorHAnsi" w:hAnsiTheme="minorEastAsia" w:eastAsiaTheme="minorEastAsia"/>
          <w:color w:val="000000" w:themeColor="text1"/>
          <w:kern w:val="10"/>
          <w:sz w:val="30"/>
          <w:szCs w:val="30"/>
        </w:rPr>
        <w:t>；</w:t>
      </w:r>
      <w:r>
        <w:rPr>
          <w:rFonts w:hint="eastAsia" w:asciiTheme="minorHAnsi" w:hAnsiTheme="minorEastAsia" w:eastAsiaTheme="minorEastAsia"/>
          <w:color w:val="000000" w:themeColor="text1"/>
          <w:kern w:val="10"/>
          <w:sz w:val="30"/>
          <w:szCs w:val="30"/>
          <w:lang w:eastAsia="zh-CN"/>
        </w:rPr>
        <w:t>其他城乡社区支出</w:t>
      </w:r>
      <w:r>
        <w:rPr>
          <w:rFonts w:hint="eastAsia" w:asciiTheme="minorHAnsi" w:hAnsiTheme="minorHAnsi" w:eastAsiaTheme="minorEastAsia"/>
          <w:color w:val="000000" w:themeColor="text1"/>
          <w:kern w:val="10"/>
          <w:sz w:val="30"/>
          <w:szCs w:val="30"/>
          <w:lang w:val="en-US" w:eastAsia="zh-CN"/>
        </w:rPr>
        <w:t>97.24</w:t>
      </w:r>
      <w:r>
        <w:rPr>
          <w:rFonts w:hint="eastAsia" w:asciiTheme="minorHAnsi" w:hAnsiTheme="minorEastAsia" w:eastAsiaTheme="minorEastAsia"/>
          <w:color w:val="000000" w:themeColor="text1"/>
          <w:kern w:val="10"/>
          <w:sz w:val="30"/>
          <w:szCs w:val="30"/>
        </w:rPr>
        <w:t>万元，占比</w:t>
      </w:r>
      <w:r>
        <w:rPr>
          <w:rFonts w:hint="eastAsia" w:asciiTheme="minorHAnsi" w:hAnsiTheme="minorHAnsi" w:eastAsiaTheme="minorEastAsia"/>
          <w:color w:val="000000" w:themeColor="text1"/>
          <w:kern w:val="10"/>
          <w:sz w:val="30"/>
          <w:szCs w:val="30"/>
          <w:lang w:val="en-US" w:eastAsia="zh-CN"/>
        </w:rPr>
        <w:t>2.41</w:t>
      </w:r>
      <w:r>
        <w:rPr>
          <w:rFonts w:hint="eastAsia" w:asciiTheme="minorHAnsi" w:hAnsiTheme="minorHAnsi" w:eastAsiaTheme="minorEastAsia"/>
          <w:color w:val="000000" w:themeColor="text1"/>
          <w:kern w:val="10"/>
          <w:sz w:val="30"/>
          <w:szCs w:val="30"/>
        </w:rPr>
        <w:t>%</w:t>
      </w:r>
      <w:r>
        <w:rPr>
          <w:rFonts w:hint="eastAsia" w:asciiTheme="minorHAnsi" w:hAnsiTheme="minorEastAsia" w:eastAsiaTheme="minorEastAsia"/>
          <w:color w:val="000000" w:themeColor="text1"/>
          <w:kern w:val="10"/>
          <w:sz w:val="30"/>
          <w:szCs w:val="30"/>
        </w:rPr>
        <w:t>；</w:t>
      </w:r>
      <w:r>
        <w:rPr>
          <w:rFonts w:hint="eastAsia" w:asciiTheme="minorHAnsi" w:hAnsiTheme="minorEastAsia" w:eastAsiaTheme="minorEastAsia"/>
          <w:color w:val="000000" w:themeColor="text1"/>
          <w:kern w:val="10"/>
          <w:sz w:val="30"/>
          <w:szCs w:val="30"/>
          <w:lang w:eastAsia="zh-CN"/>
        </w:rPr>
        <w:t>对村民委员会村党支部的补助支出</w:t>
      </w:r>
      <w:r>
        <w:rPr>
          <w:rFonts w:hint="eastAsia" w:asciiTheme="minorHAnsi" w:hAnsiTheme="minorEastAsia" w:eastAsiaTheme="minorEastAsia"/>
          <w:color w:val="000000" w:themeColor="text1"/>
          <w:kern w:val="10"/>
          <w:sz w:val="30"/>
          <w:szCs w:val="30"/>
          <w:lang w:val="en-US" w:eastAsia="zh-CN"/>
        </w:rPr>
        <w:t>100万元，占比2.47%；应急管理事务支出3万元，占比0.07%；</w:t>
      </w:r>
      <w:r>
        <w:rPr>
          <w:rFonts w:hint="eastAsia" w:asciiTheme="minorHAnsi" w:hAnsiTheme="minorEastAsia" w:eastAsiaTheme="minorEastAsia"/>
          <w:color w:val="000000" w:themeColor="text1"/>
          <w:kern w:val="10"/>
          <w:sz w:val="30"/>
          <w:szCs w:val="30"/>
          <w:lang w:eastAsia="zh-CN"/>
        </w:rPr>
        <w:t>其他应急管理支出</w:t>
      </w:r>
      <w:r>
        <w:rPr>
          <w:rFonts w:hint="eastAsia" w:asciiTheme="minorHAnsi" w:hAnsiTheme="minorEastAsia" w:eastAsiaTheme="minorEastAsia"/>
          <w:color w:val="000000" w:themeColor="text1"/>
          <w:kern w:val="10"/>
          <w:sz w:val="30"/>
          <w:szCs w:val="30"/>
          <w:lang w:val="en-US" w:eastAsia="zh-CN"/>
        </w:rPr>
        <w:t>38</w:t>
      </w:r>
      <w:r>
        <w:rPr>
          <w:rFonts w:hint="eastAsia" w:asciiTheme="minorHAnsi" w:hAnsiTheme="minorHAnsi" w:eastAsiaTheme="minorEastAsia"/>
          <w:color w:val="000000" w:themeColor="text1"/>
          <w:kern w:val="10"/>
          <w:sz w:val="30"/>
          <w:szCs w:val="30"/>
          <w:lang w:val="en-US" w:eastAsia="zh-CN"/>
        </w:rPr>
        <w:t>.11</w:t>
      </w:r>
      <w:r>
        <w:rPr>
          <w:rFonts w:hint="eastAsia" w:asciiTheme="minorHAnsi" w:hAnsiTheme="minorEastAsia" w:eastAsiaTheme="minorEastAsia"/>
          <w:color w:val="000000" w:themeColor="text1"/>
          <w:kern w:val="10"/>
          <w:sz w:val="30"/>
          <w:szCs w:val="30"/>
        </w:rPr>
        <w:t>万元，占比</w:t>
      </w:r>
      <w:r>
        <w:rPr>
          <w:rFonts w:hint="eastAsia" w:asciiTheme="minorHAnsi" w:hAnsiTheme="minorHAnsi" w:eastAsiaTheme="minorEastAsia"/>
          <w:color w:val="000000" w:themeColor="text1"/>
          <w:kern w:val="10"/>
          <w:sz w:val="30"/>
          <w:szCs w:val="30"/>
          <w:lang w:val="en-US" w:eastAsia="zh-CN"/>
        </w:rPr>
        <w:t>0.94</w:t>
      </w:r>
      <w:r>
        <w:rPr>
          <w:rFonts w:hint="eastAsia" w:asciiTheme="minorHAnsi" w:hAnsiTheme="minorHAnsi" w:eastAsiaTheme="minorEastAsia"/>
          <w:color w:val="000000" w:themeColor="text1"/>
          <w:kern w:val="10"/>
          <w:sz w:val="30"/>
          <w:szCs w:val="30"/>
        </w:rPr>
        <w:t>%</w:t>
      </w:r>
      <w:r>
        <w:rPr>
          <w:rFonts w:hint="eastAsia" w:asciiTheme="minorHAnsi" w:hAnsiTheme="minorEastAsia" w:eastAsiaTheme="minorEastAsia"/>
          <w:color w:val="000000" w:themeColor="text1"/>
          <w:kern w:val="10"/>
          <w:sz w:val="30"/>
          <w:szCs w:val="30"/>
        </w:rPr>
        <w:t>；</w:t>
      </w:r>
      <w:r>
        <w:rPr>
          <w:rFonts w:hint="eastAsia" w:asciiTheme="minorHAnsi" w:hAnsiTheme="minorEastAsia" w:eastAsiaTheme="minorEastAsia"/>
          <w:color w:val="000000" w:themeColor="text1"/>
          <w:kern w:val="10"/>
          <w:sz w:val="30"/>
          <w:szCs w:val="30"/>
          <w:lang w:eastAsia="zh-CN"/>
        </w:rPr>
        <w:t>用于社会福利的彩票公益支出</w:t>
      </w:r>
      <w:r>
        <w:rPr>
          <w:rFonts w:hint="eastAsia" w:asciiTheme="minorHAnsi" w:hAnsiTheme="minorEastAsia" w:eastAsiaTheme="minorEastAsia"/>
          <w:color w:val="000000" w:themeColor="text1"/>
          <w:kern w:val="10"/>
          <w:sz w:val="30"/>
          <w:szCs w:val="30"/>
          <w:lang w:val="en-US" w:eastAsia="zh-CN"/>
        </w:rPr>
        <w:t>21万元，占比0.52%</w:t>
      </w:r>
      <w:r>
        <w:rPr>
          <w:rFonts w:hint="eastAsia" w:asciiTheme="minorHAnsi" w:hAnsiTheme="minorEastAsia" w:eastAsiaTheme="minorEastAsia"/>
          <w:color w:val="000000" w:themeColor="text1"/>
          <w:kern w:val="10"/>
          <w:sz w:val="30"/>
          <w:szCs w:val="30"/>
        </w:rPr>
        <w:t>。</w:t>
      </w:r>
    </w:p>
    <w:p>
      <w:pPr>
        <w:pStyle w:val="5"/>
        <w:spacing w:line="240" w:lineRule="auto"/>
        <w:ind w:left="0" w:leftChars="0" w:firstLine="426" w:firstLineChars="142"/>
        <w:rPr>
          <w:rFonts w:asciiTheme="minorHAnsi" w:hAnsiTheme="minorHAnsi" w:eastAsiaTheme="minorEastAsia"/>
          <w:kern w:val="10"/>
          <w:sz w:val="30"/>
          <w:szCs w:val="30"/>
        </w:rPr>
      </w:pPr>
      <w:r>
        <w:rPr>
          <w:rFonts w:hint="eastAsia" w:asciiTheme="minorHAnsi" w:hAnsiTheme="minorHAnsi" w:eastAsiaTheme="minorEastAsia"/>
          <w:color w:val="000000" w:themeColor="text1"/>
          <w:kern w:val="10"/>
          <w:sz w:val="30"/>
          <w:szCs w:val="30"/>
        </w:rPr>
        <w:t xml:space="preserve"> 3</w:t>
      </w:r>
      <w:r>
        <w:rPr>
          <w:rFonts w:hint="eastAsia" w:asciiTheme="minorHAnsi" w:hAnsiTheme="minorEastAsia" w:eastAsiaTheme="minorEastAsia"/>
          <w:color w:val="000000" w:themeColor="text1"/>
          <w:kern w:val="10"/>
          <w:sz w:val="30"/>
          <w:szCs w:val="30"/>
        </w:rPr>
        <w:t>、以上项目资金涉及到各村、社区的项目资金，根据区财政年初预算安排，已按时、足额下拨，街道定期检查各村、社区资金使用情况，严格按区专项经费使用制度加强管理与落实。另外，街道根据各级财务制度规定，结合本单位实际，明确了人员分工及岗位职责，建立健全机关管理制度，实行制度管人、管事、管权。为进一步完善街道财务管理制度，制定了《东岸街道财务管理办法》、《东岸街道专项资金管理办</w:t>
      </w:r>
      <w:r>
        <w:rPr>
          <w:rFonts w:hint="eastAsia" w:asciiTheme="minorHAnsi" w:hAnsiTheme="minorEastAsia" w:eastAsiaTheme="minorEastAsia"/>
          <w:kern w:val="10"/>
          <w:sz w:val="30"/>
          <w:szCs w:val="30"/>
        </w:rPr>
        <w:t>法》、《东岸街道环卫所工作职责》和《东岸街道环卫所清扫员绩效考核办法》等，经常开展财务制度学习，积极参加上级组织的财务知识培训，与时俱进，学以致用，不断提高财务人员的综合素质和财政资金的使用效率。</w:t>
      </w:r>
    </w:p>
    <w:p>
      <w:pPr>
        <w:ind w:firstLine="425" w:firstLineChars="141"/>
        <w:jc w:val="left"/>
        <w:rPr>
          <w:rFonts w:asciiTheme="minorHAnsi" w:hAnsiTheme="minorHAnsi" w:eastAsiaTheme="minorEastAsia"/>
          <w:b/>
          <w:bCs/>
          <w:kern w:val="10"/>
          <w:sz w:val="30"/>
          <w:szCs w:val="32"/>
        </w:rPr>
      </w:pPr>
      <w:r>
        <w:rPr>
          <w:rFonts w:hint="eastAsia" w:asciiTheme="minorHAnsi" w:hAnsiTheme="minorEastAsia" w:eastAsiaTheme="minorEastAsia"/>
          <w:b/>
          <w:bCs/>
          <w:kern w:val="10"/>
          <w:sz w:val="30"/>
          <w:szCs w:val="32"/>
        </w:rPr>
        <w:t xml:space="preserve"> </w:t>
      </w:r>
      <w:r>
        <w:rPr>
          <w:rFonts w:asciiTheme="minorHAnsi" w:hAnsiTheme="minorEastAsia" w:eastAsiaTheme="minorEastAsia"/>
          <w:b/>
          <w:bCs/>
          <w:kern w:val="10"/>
          <w:sz w:val="30"/>
          <w:szCs w:val="32"/>
        </w:rPr>
        <w:t>三、部门项目组织实施情况</w:t>
      </w:r>
    </w:p>
    <w:p>
      <w:pPr>
        <w:ind w:firstLine="426" w:firstLineChars="142"/>
        <w:jc w:val="left"/>
        <w:rPr>
          <w:rFonts w:cs="仿宋_GB2312" w:asciiTheme="minorHAnsi" w:hAnsiTheme="minorHAnsi" w:eastAsiaTheme="minorEastAsia"/>
          <w:color w:val="000000" w:themeColor="text1"/>
          <w:kern w:val="10"/>
          <w:sz w:val="30"/>
          <w:szCs w:val="30"/>
        </w:rPr>
      </w:pPr>
      <w:r>
        <w:rPr>
          <w:rFonts w:hint="eastAsia" w:cs="仿宋_GB2312" w:asciiTheme="minorHAnsi" w:hAnsiTheme="minorEastAsia" w:eastAsiaTheme="minorEastAsia"/>
          <w:color w:val="000000" w:themeColor="text1"/>
          <w:kern w:val="10"/>
          <w:sz w:val="30"/>
          <w:szCs w:val="30"/>
        </w:rPr>
        <w:t xml:space="preserve"> 我街道建立健全项目建设工作的领导、组织机构，项目建设工作由党政会议集体研究决定，由分管领导具体负责实施。项目招投标严格按照招投标管理办法进行公开招投标，实行公开、公平竞争。财政资金管理遵循专用原则，严格按照批准的项目预算执行，并按照合同约定和工程价款结算程序支付工程款。对已具备竣工验收条件的项目，及时组织验收、移交使用，及时编报竣工财务决算。同时加强对项目的监督管理，采取事前、事中、事后相结合，日常监督和专项监督相结合的方式，对项目财务行为实施全过程监督管理。</w:t>
      </w:r>
    </w:p>
    <w:p>
      <w:pPr>
        <w:ind w:firstLine="425" w:firstLineChars="141"/>
        <w:jc w:val="left"/>
        <w:rPr>
          <w:rFonts w:asciiTheme="minorHAnsi" w:hAnsiTheme="minorHAnsi" w:eastAsiaTheme="minorEastAsia"/>
          <w:b/>
          <w:bCs/>
          <w:kern w:val="10"/>
          <w:sz w:val="30"/>
          <w:szCs w:val="32"/>
        </w:rPr>
      </w:pPr>
      <w:r>
        <w:rPr>
          <w:rFonts w:hint="eastAsia" w:asciiTheme="minorHAnsi" w:hAnsiTheme="minorEastAsia" w:eastAsiaTheme="minorEastAsia"/>
          <w:b/>
          <w:bCs/>
          <w:kern w:val="10"/>
          <w:sz w:val="30"/>
          <w:szCs w:val="32"/>
        </w:rPr>
        <w:t xml:space="preserve"> </w:t>
      </w:r>
      <w:r>
        <w:rPr>
          <w:rFonts w:asciiTheme="minorHAnsi" w:hAnsiTheme="minorEastAsia" w:eastAsiaTheme="minorEastAsia"/>
          <w:b/>
          <w:bCs/>
          <w:kern w:val="10"/>
          <w:sz w:val="30"/>
          <w:szCs w:val="32"/>
        </w:rPr>
        <w:t>四、资产管理情况</w:t>
      </w:r>
    </w:p>
    <w:p>
      <w:pPr>
        <w:pStyle w:val="5"/>
        <w:spacing w:line="240" w:lineRule="auto"/>
        <w:ind w:left="0" w:leftChars="0" w:firstLine="426" w:firstLineChars="142"/>
        <w:rPr>
          <w:rFonts w:asciiTheme="minorHAnsi" w:hAnsiTheme="minorHAnsi" w:eastAsiaTheme="minorEastAsia"/>
          <w:kern w:val="10"/>
          <w:sz w:val="30"/>
          <w:szCs w:val="30"/>
        </w:rPr>
      </w:pPr>
      <w:r>
        <w:rPr>
          <w:rFonts w:hint="eastAsia" w:asciiTheme="minorHAnsi" w:hAnsiTheme="minorEastAsia" w:eastAsiaTheme="minorEastAsia"/>
          <w:kern w:val="10"/>
          <w:sz w:val="30"/>
          <w:szCs w:val="30"/>
        </w:rPr>
        <w:t xml:space="preserve"> 截止</w:t>
      </w:r>
      <w:r>
        <w:rPr>
          <w:rFonts w:hint="eastAsia" w:asciiTheme="minorHAnsi" w:hAnsiTheme="minorHAnsi" w:eastAsiaTheme="minorEastAsia"/>
          <w:kern w:val="10"/>
          <w:sz w:val="30"/>
          <w:szCs w:val="30"/>
        </w:rPr>
        <w:t>202</w:t>
      </w:r>
      <w:r>
        <w:rPr>
          <w:rFonts w:hint="eastAsia" w:asciiTheme="minorHAnsi" w:hAnsiTheme="minorHAnsi" w:eastAsiaTheme="minorEastAsia"/>
          <w:kern w:val="10"/>
          <w:sz w:val="30"/>
          <w:szCs w:val="30"/>
          <w:lang w:val="en-US" w:eastAsia="zh-CN"/>
        </w:rPr>
        <w:t>2</w:t>
      </w:r>
      <w:r>
        <w:rPr>
          <w:rFonts w:hint="eastAsia" w:asciiTheme="minorHAnsi" w:hAnsiTheme="minorEastAsia" w:eastAsiaTheme="minorEastAsia"/>
          <w:kern w:val="10"/>
          <w:sz w:val="30"/>
          <w:szCs w:val="30"/>
        </w:rPr>
        <w:t>年</w:t>
      </w:r>
      <w:r>
        <w:rPr>
          <w:rFonts w:hint="eastAsia" w:asciiTheme="minorHAnsi" w:hAnsiTheme="minorHAnsi" w:eastAsiaTheme="minorEastAsia"/>
          <w:kern w:val="10"/>
          <w:sz w:val="30"/>
          <w:szCs w:val="30"/>
        </w:rPr>
        <w:t>12</w:t>
      </w:r>
      <w:r>
        <w:rPr>
          <w:rFonts w:hint="eastAsia" w:asciiTheme="minorHAnsi" w:hAnsiTheme="minorEastAsia" w:eastAsiaTheme="minorEastAsia"/>
          <w:kern w:val="10"/>
          <w:sz w:val="30"/>
          <w:szCs w:val="30"/>
        </w:rPr>
        <w:t>月</w:t>
      </w:r>
      <w:r>
        <w:rPr>
          <w:rFonts w:hint="eastAsia" w:asciiTheme="minorHAnsi" w:hAnsiTheme="minorHAnsi" w:eastAsiaTheme="minorEastAsia"/>
          <w:kern w:val="10"/>
          <w:sz w:val="30"/>
          <w:szCs w:val="30"/>
        </w:rPr>
        <w:t>31</w:t>
      </w:r>
      <w:r>
        <w:rPr>
          <w:rFonts w:hint="eastAsia" w:asciiTheme="minorHAnsi" w:hAnsiTheme="minorEastAsia" w:eastAsiaTheme="minorEastAsia"/>
          <w:kern w:val="10"/>
          <w:sz w:val="30"/>
          <w:szCs w:val="30"/>
        </w:rPr>
        <w:t>日，我街道资产总值</w:t>
      </w:r>
      <w:r>
        <w:rPr>
          <w:rFonts w:hint="eastAsia" w:asciiTheme="minorHAnsi" w:hAnsiTheme="minorHAnsi" w:eastAsiaTheme="minorEastAsia"/>
          <w:kern w:val="10"/>
          <w:sz w:val="30"/>
          <w:szCs w:val="30"/>
          <w:lang w:val="en-US" w:eastAsia="zh-CN"/>
        </w:rPr>
        <w:t>5650.99</w:t>
      </w:r>
      <w:r>
        <w:rPr>
          <w:rFonts w:hint="eastAsia" w:asciiTheme="minorHAnsi" w:hAnsiTheme="minorEastAsia" w:eastAsiaTheme="minorEastAsia"/>
          <w:kern w:val="10"/>
          <w:sz w:val="30"/>
          <w:szCs w:val="30"/>
        </w:rPr>
        <w:t>万元，其中流动资产</w:t>
      </w:r>
      <w:r>
        <w:rPr>
          <w:rFonts w:hint="eastAsia" w:asciiTheme="minorHAnsi" w:hAnsiTheme="minorHAnsi" w:eastAsiaTheme="minorEastAsia"/>
          <w:kern w:val="10"/>
          <w:sz w:val="30"/>
          <w:szCs w:val="30"/>
          <w:lang w:val="en-US" w:eastAsia="zh-CN"/>
        </w:rPr>
        <w:t>4989.83</w:t>
      </w:r>
      <w:r>
        <w:rPr>
          <w:rFonts w:hint="eastAsia" w:asciiTheme="minorHAnsi" w:hAnsiTheme="minorEastAsia" w:eastAsiaTheme="minorEastAsia"/>
          <w:kern w:val="10"/>
          <w:sz w:val="30"/>
          <w:szCs w:val="30"/>
        </w:rPr>
        <w:t>万元，占比</w:t>
      </w:r>
      <w:r>
        <w:rPr>
          <w:rFonts w:hint="eastAsia" w:asciiTheme="minorHAnsi" w:hAnsiTheme="minorEastAsia" w:eastAsiaTheme="minorEastAsia"/>
          <w:kern w:val="10"/>
          <w:sz w:val="30"/>
          <w:szCs w:val="30"/>
          <w:lang w:val="en-US" w:eastAsia="zh-CN"/>
        </w:rPr>
        <w:t>88</w:t>
      </w:r>
      <w:r>
        <w:rPr>
          <w:rFonts w:hint="eastAsia" w:asciiTheme="minorHAnsi" w:hAnsiTheme="minorHAnsi" w:eastAsiaTheme="minorEastAsia"/>
          <w:kern w:val="10"/>
          <w:sz w:val="30"/>
          <w:szCs w:val="30"/>
          <w:lang w:val="en-US" w:eastAsia="zh-CN"/>
        </w:rPr>
        <w:t>.3</w:t>
      </w:r>
      <w:r>
        <w:rPr>
          <w:rFonts w:hint="eastAsia" w:asciiTheme="minorHAnsi" w:hAnsiTheme="minorHAnsi" w:eastAsiaTheme="minorEastAsia"/>
          <w:kern w:val="10"/>
          <w:sz w:val="30"/>
          <w:szCs w:val="30"/>
        </w:rPr>
        <w:t>%</w:t>
      </w:r>
      <w:r>
        <w:rPr>
          <w:rFonts w:hint="eastAsia" w:asciiTheme="minorHAnsi" w:hAnsiTheme="minorEastAsia" w:eastAsiaTheme="minorEastAsia"/>
          <w:kern w:val="10"/>
          <w:sz w:val="30"/>
          <w:szCs w:val="30"/>
        </w:rPr>
        <w:t>；固定资产和公共基础设施净值</w:t>
      </w:r>
      <w:r>
        <w:rPr>
          <w:rFonts w:hint="eastAsia" w:asciiTheme="minorHAnsi" w:hAnsiTheme="minorHAnsi" w:eastAsiaTheme="minorEastAsia"/>
          <w:kern w:val="10"/>
          <w:sz w:val="30"/>
          <w:szCs w:val="30"/>
          <w:lang w:val="en-US" w:eastAsia="zh-CN"/>
        </w:rPr>
        <w:t>661.16</w:t>
      </w:r>
      <w:r>
        <w:rPr>
          <w:rFonts w:hint="eastAsia" w:asciiTheme="minorHAnsi" w:hAnsiTheme="minorEastAsia" w:eastAsiaTheme="minorEastAsia"/>
          <w:kern w:val="10"/>
          <w:sz w:val="30"/>
          <w:szCs w:val="30"/>
        </w:rPr>
        <w:t>万元，占比</w:t>
      </w:r>
      <w:r>
        <w:rPr>
          <w:rFonts w:hint="eastAsia" w:asciiTheme="minorHAnsi" w:hAnsiTheme="minorEastAsia" w:eastAsiaTheme="minorEastAsia"/>
          <w:kern w:val="10"/>
          <w:sz w:val="30"/>
          <w:szCs w:val="30"/>
          <w:lang w:val="en-US" w:eastAsia="zh-CN"/>
        </w:rPr>
        <w:t>11.7</w:t>
      </w:r>
      <w:r>
        <w:rPr>
          <w:rFonts w:hint="eastAsia" w:asciiTheme="minorHAnsi" w:hAnsiTheme="minorHAnsi" w:eastAsiaTheme="minorEastAsia"/>
          <w:kern w:val="10"/>
          <w:sz w:val="30"/>
          <w:szCs w:val="30"/>
        </w:rPr>
        <w:t>%</w:t>
      </w:r>
      <w:r>
        <w:rPr>
          <w:rFonts w:hint="eastAsia" w:asciiTheme="minorHAnsi" w:hAnsiTheme="minorEastAsia" w:eastAsiaTheme="minorEastAsia"/>
          <w:kern w:val="10"/>
          <w:sz w:val="30"/>
          <w:szCs w:val="30"/>
        </w:rPr>
        <w:t>。</w:t>
      </w:r>
    </w:p>
    <w:p>
      <w:pPr>
        <w:pStyle w:val="5"/>
        <w:spacing w:line="240" w:lineRule="auto"/>
        <w:ind w:left="0" w:leftChars="0" w:firstLine="567" w:firstLineChars="189"/>
        <w:rPr>
          <w:rFonts w:asciiTheme="minorHAnsi" w:hAnsiTheme="minorEastAsia" w:eastAsiaTheme="minorEastAsia"/>
          <w:kern w:val="10"/>
          <w:sz w:val="30"/>
          <w:szCs w:val="30"/>
        </w:rPr>
      </w:pPr>
      <w:r>
        <w:rPr>
          <w:rFonts w:hint="eastAsia" w:asciiTheme="minorHAnsi" w:hAnsiTheme="minorEastAsia" w:eastAsiaTheme="minorEastAsia"/>
          <w:kern w:val="10"/>
          <w:sz w:val="30"/>
          <w:szCs w:val="30"/>
        </w:rPr>
        <w:t>根据上级关于资产的管理要求，我街道结合单位实际，设立了专门的资产管理员岗位，各办公室也确定了资产管理员，明确了工作职责；从资产的预算、采购、入账、使用、调拨和处置一系列流程都制定了严格的管理办法；不定期对所属资产进行清查，每月按时计提资产折旧和对账，有效的提高了街道资产管理员的综合管理水平和资产的使用效率。</w:t>
      </w:r>
    </w:p>
    <w:p>
      <w:pPr>
        <w:pStyle w:val="5"/>
        <w:spacing w:line="240" w:lineRule="auto"/>
        <w:ind w:left="0" w:leftChars="0" w:firstLine="720" w:firstLineChars="239"/>
        <w:rPr>
          <w:rFonts w:asciiTheme="minorHAnsi" w:hAnsiTheme="minorEastAsia" w:eastAsiaTheme="minorEastAsia"/>
          <w:b/>
          <w:kern w:val="10"/>
          <w:sz w:val="30"/>
          <w:szCs w:val="30"/>
        </w:rPr>
      </w:pPr>
      <w:r>
        <w:rPr>
          <w:rFonts w:hint="eastAsia" w:asciiTheme="minorHAnsi" w:hAnsiTheme="minorEastAsia" w:eastAsiaTheme="minorEastAsia"/>
          <w:b/>
          <w:kern w:val="10"/>
          <w:sz w:val="30"/>
          <w:szCs w:val="30"/>
        </w:rPr>
        <w:t>五、部门整体支出绩效情况</w:t>
      </w:r>
    </w:p>
    <w:p>
      <w:pPr>
        <w:pStyle w:val="5"/>
        <w:spacing w:line="240" w:lineRule="auto"/>
        <w:ind w:left="0" w:leftChars="0" w:firstLine="717" w:firstLineChars="239"/>
        <w:rPr>
          <w:rFonts w:hint="eastAsia" w:asciiTheme="minorHAnsi" w:hAnsiTheme="minorEastAsia" w:eastAsiaTheme="minorEastAsia"/>
          <w:kern w:val="10"/>
          <w:sz w:val="30"/>
          <w:szCs w:val="30"/>
        </w:rPr>
      </w:pPr>
      <w:r>
        <w:rPr>
          <w:rFonts w:hint="eastAsia" w:asciiTheme="minorHAnsi" w:hAnsiTheme="minorEastAsia" w:eastAsiaTheme="minorEastAsia"/>
          <w:kern w:val="10"/>
          <w:sz w:val="30"/>
          <w:szCs w:val="30"/>
        </w:rPr>
        <w:t>202</w:t>
      </w:r>
      <w:r>
        <w:rPr>
          <w:rFonts w:hint="eastAsia" w:asciiTheme="minorHAnsi" w:hAnsiTheme="minorEastAsia" w:eastAsiaTheme="minorEastAsia"/>
          <w:kern w:val="10"/>
          <w:sz w:val="30"/>
          <w:szCs w:val="30"/>
          <w:lang w:val="en-US" w:eastAsia="zh-CN"/>
        </w:rPr>
        <w:t>2</w:t>
      </w:r>
      <w:r>
        <w:rPr>
          <w:rFonts w:hint="eastAsia" w:asciiTheme="minorHAnsi" w:hAnsiTheme="minorEastAsia" w:eastAsiaTheme="minorEastAsia"/>
          <w:kern w:val="10"/>
          <w:sz w:val="30"/>
          <w:szCs w:val="30"/>
        </w:rPr>
        <w:t>年，在区委、区政府的</w:t>
      </w:r>
      <w:r>
        <w:rPr>
          <w:rFonts w:hint="eastAsia" w:asciiTheme="minorHAnsi" w:hAnsiTheme="minorEastAsia" w:eastAsiaTheme="minorEastAsia"/>
          <w:kern w:val="10"/>
          <w:sz w:val="30"/>
          <w:szCs w:val="30"/>
          <w:lang w:eastAsia="zh-CN"/>
        </w:rPr>
        <w:t>正确</w:t>
      </w:r>
      <w:r>
        <w:rPr>
          <w:rFonts w:hint="eastAsia" w:asciiTheme="minorHAnsi" w:hAnsiTheme="minorEastAsia" w:eastAsiaTheme="minorEastAsia"/>
          <w:kern w:val="10"/>
          <w:sz w:val="30"/>
          <w:szCs w:val="30"/>
        </w:rPr>
        <w:t>领导下，我街道围绕</w:t>
      </w:r>
      <w:r>
        <w:rPr>
          <w:rFonts w:hint="eastAsia" w:asciiTheme="minorHAnsi" w:hAnsiTheme="minorEastAsia" w:eastAsiaTheme="minorEastAsia"/>
          <w:kern w:val="10"/>
          <w:sz w:val="30"/>
          <w:szCs w:val="30"/>
          <w:lang w:eastAsia="zh-CN"/>
        </w:rPr>
        <w:t>党代会提出的</w:t>
      </w:r>
      <w:r>
        <w:rPr>
          <w:rFonts w:hint="eastAsia" w:asciiTheme="minorHAnsi" w:hAnsiTheme="minorEastAsia" w:eastAsiaTheme="minorEastAsia"/>
          <w:kern w:val="10"/>
          <w:sz w:val="30"/>
          <w:szCs w:val="30"/>
        </w:rPr>
        <w:t>“</w:t>
      </w:r>
      <w:r>
        <w:rPr>
          <w:rFonts w:hint="eastAsia" w:asciiTheme="minorHAnsi" w:hAnsiTheme="minorEastAsia" w:eastAsiaTheme="minorEastAsia"/>
          <w:kern w:val="10"/>
          <w:sz w:val="30"/>
          <w:szCs w:val="30"/>
          <w:lang w:eastAsia="zh-CN"/>
        </w:rPr>
        <w:t>举全区之力</w:t>
      </w:r>
      <w:r>
        <w:rPr>
          <w:rFonts w:hint="eastAsia" w:asciiTheme="minorHAnsi" w:hAnsiTheme="minorEastAsia" w:eastAsiaTheme="minorEastAsia"/>
          <w:kern w:val="10"/>
          <w:sz w:val="30"/>
          <w:szCs w:val="30"/>
        </w:rPr>
        <w:t>”</w:t>
      </w:r>
      <w:r>
        <w:rPr>
          <w:rFonts w:hint="eastAsia" w:asciiTheme="minorHAnsi" w:hAnsiTheme="minorEastAsia" w:eastAsiaTheme="minorEastAsia"/>
          <w:kern w:val="10"/>
          <w:sz w:val="30"/>
          <w:szCs w:val="30"/>
          <w:lang w:eastAsia="zh-CN"/>
        </w:rPr>
        <w:t>强东部、跨河东进战略</w:t>
      </w:r>
      <w:r>
        <w:rPr>
          <w:rFonts w:hint="eastAsia" w:asciiTheme="minorHAnsi" w:hAnsiTheme="minorEastAsia" w:eastAsiaTheme="minorEastAsia"/>
          <w:kern w:val="10"/>
          <w:sz w:val="30"/>
          <w:szCs w:val="30"/>
        </w:rPr>
        <w:t>，</w:t>
      </w:r>
      <w:r>
        <w:rPr>
          <w:rFonts w:hint="eastAsia" w:asciiTheme="minorHAnsi" w:hAnsiTheme="minorEastAsia" w:eastAsiaTheme="minorEastAsia"/>
          <w:kern w:val="10"/>
          <w:sz w:val="30"/>
          <w:szCs w:val="30"/>
          <w:lang w:eastAsia="zh-CN"/>
        </w:rPr>
        <w:t>紧盯“揭榜攻坚”“一年一件事”，延续正党风、淳民风、树新风工作举措，发扬“敢想、敢做、敢拼”的精神，为打造现代化新长沙建设标杆区贡献东岸力量、展现东岸作为。</w:t>
      </w:r>
      <w:r>
        <w:rPr>
          <w:rFonts w:hint="eastAsia" w:asciiTheme="minorHAnsi" w:hAnsiTheme="minorEastAsia" w:eastAsiaTheme="minorEastAsia"/>
          <w:kern w:val="10"/>
          <w:sz w:val="30"/>
          <w:szCs w:val="30"/>
        </w:rPr>
        <w:t>部门整体评价如下：</w:t>
      </w:r>
    </w:p>
    <w:p>
      <w:pPr>
        <w:pStyle w:val="5"/>
        <w:spacing w:line="240" w:lineRule="auto"/>
        <w:ind w:left="0" w:leftChars="0" w:firstLine="641" w:firstLineChars="213"/>
        <w:rPr>
          <w:rFonts w:asciiTheme="minorHAnsi" w:hAnsiTheme="minorHAnsi" w:eastAsiaTheme="minorEastAsia"/>
          <w:kern w:val="10"/>
          <w:sz w:val="30"/>
          <w:szCs w:val="30"/>
        </w:rPr>
      </w:pPr>
      <w:r>
        <w:rPr>
          <w:rFonts w:hint="eastAsia" w:asciiTheme="minorHAnsi" w:hAnsiTheme="minorEastAsia" w:eastAsiaTheme="minorEastAsia"/>
          <w:b/>
          <w:kern w:val="10"/>
          <w:sz w:val="30"/>
          <w:szCs w:val="30"/>
        </w:rPr>
        <w:t>1、运行成本方面。严格执行预算支出，建立节约型机关，发挥资金的最大效益。</w:t>
      </w:r>
      <w:r>
        <w:rPr>
          <w:rFonts w:hint="eastAsia" w:asciiTheme="minorHAnsi" w:hAnsiTheme="minorEastAsia" w:eastAsiaTheme="minorEastAsia"/>
          <w:kern w:val="10"/>
          <w:sz w:val="30"/>
          <w:szCs w:val="30"/>
        </w:rPr>
        <w:t>202</w:t>
      </w:r>
      <w:r>
        <w:rPr>
          <w:rFonts w:hint="eastAsia" w:asciiTheme="minorHAnsi" w:hAnsiTheme="minorEastAsia" w:eastAsiaTheme="minorEastAsia"/>
          <w:kern w:val="10"/>
          <w:sz w:val="30"/>
          <w:szCs w:val="30"/>
          <w:lang w:val="en-US" w:eastAsia="zh-CN"/>
        </w:rPr>
        <w:t>2</w:t>
      </w:r>
      <w:r>
        <w:rPr>
          <w:rFonts w:hint="eastAsia" w:asciiTheme="minorHAnsi" w:hAnsiTheme="minorEastAsia" w:eastAsiaTheme="minorEastAsia"/>
          <w:kern w:val="10"/>
          <w:sz w:val="30"/>
          <w:szCs w:val="30"/>
        </w:rPr>
        <w:t>年机关运行经费支出为</w:t>
      </w:r>
      <w:r>
        <w:rPr>
          <w:rFonts w:hint="eastAsia" w:asciiTheme="minorHAnsi" w:hAnsiTheme="minorEastAsia" w:eastAsiaTheme="minorEastAsia"/>
          <w:kern w:val="10"/>
          <w:sz w:val="30"/>
          <w:szCs w:val="30"/>
          <w:lang w:val="en-US" w:eastAsia="zh-CN"/>
        </w:rPr>
        <w:t>243.56</w:t>
      </w:r>
      <w:r>
        <w:rPr>
          <w:rFonts w:hint="eastAsia" w:asciiTheme="minorHAnsi" w:hAnsiTheme="minorEastAsia" w:eastAsiaTheme="minorEastAsia"/>
          <w:kern w:val="10"/>
          <w:sz w:val="30"/>
          <w:szCs w:val="30"/>
        </w:rPr>
        <w:t>万元，“三公”经费支出0万元，主要是街道长期以来严格财务管理，认真落实国库集中支付、公务卡结算制度以及政府采购的有关规定，将机关成本控制分为事前、事中、事后3个阶段的控制，构建了以“全面性、全流程、重效果”为特色的机关运行成本控制体系，切实做到“花钱必问效，无效必问责”，推动财政资金聚力增效，提高公共服务质量。</w:t>
      </w:r>
    </w:p>
    <w:p>
      <w:pPr>
        <w:pStyle w:val="18"/>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Theme="minorEastAsia" w:hAnsiTheme="minorEastAsia" w:eastAsiaTheme="minorEastAsia" w:cstheme="minorEastAsia"/>
          <w:color w:val="auto"/>
          <w:sz w:val="30"/>
          <w:szCs w:val="30"/>
          <w:lang w:eastAsia="zh-CN"/>
        </w:rPr>
      </w:pPr>
      <w:r>
        <w:rPr>
          <w:rFonts w:hint="eastAsia" w:cs="方正楷体_GBK" w:asciiTheme="minorHAnsi" w:hAnsiTheme="minorEastAsia" w:eastAsiaTheme="minorEastAsia"/>
          <w:bCs/>
          <w:kern w:val="10"/>
          <w:sz w:val="30"/>
          <w:szCs w:val="30"/>
        </w:rPr>
        <w:t xml:space="preserve"> 2、</w:t>
      </w:r>
      <w:r>
        <w:rPr>
          <w:rFonts w:hint="eastAsia" w:cs="方正楷体_GBK" w:asciiTheme="minorHAnsi" w:hAnsiTheme="minorEastAsia" w:eastAsiaTheme="minorEastAsia"/>
          <w:b/>
          <w:bCs w:val="0"/>
          <w:kern w:val="10"/>
          <w:sz w:val="30"/>
          <w:szCs w:val="30"/>
        </w:rPr>
        <w:t>管理效率方面</w:t>
      </w:r>
      <w:r>
        <w:rPr>
          <w:rFonts w:hint="eastAsia" w:cs="方正楷体_GBK" w:asciiTheme="minorHAnsi" w:hAnsiTheme="minorEastAsia" w:eastAsiaTheme="minorEastAsia"/>
          <w:bCs/>
          <w:kern w:val="10"/>
          <w:sz w:val="30"/>
          <w:szCs w:val="30"/>
        </w:rPr>
        <w:t>。</w:t>
      </w:r>
      <w:r>
        <w:rPr>
          <w:rFonts w:hint="eastAsia" w:cs="方正楷体_GBK" w:hAnsiTheme="minorEastAsia"/>
          <w:bCs/>
          <w:kern w:val="10"/>
          <w:sz w:val="30"/>
          <w:szCs w:val="30"/>
          <w:lang w:eastAsia="zh-CN"/>
        </w:rPr>
        <w:t>一是</w:t>
      </w:r>
      <w:r>
        <w:rPr>
          <w:rFonts w:hint="eastAsia" w:asciiTheme="minorEastAsia" w:hAnsiTheme="minorEastAsia" w:eastAsiaTheme="minorEastAsia" w:cstheme="minorEastAsia"/>
          <w:b w:val="0"/>
          <w:bCs w:val="0"/>
          <w:color w:val="auto"/>
          <w:sz w:val="30"/>
          <w:szCs w:val="30"/>
          <w:lang w:val="en-US" w:eastAsia="zh-CN"/>
        </w:rPr>
        <w:t>利用党政班子会等形式，传达上级关于作风建设的相关规定。</w:t>
      </w:r>
      <w:r>
        <w:rPr>
          <w:rFonts w:hint="eastAsia" w:asciiTheme="minorEastAsia" w:hAnsiTheme="minorEastAsia" w:eastAsiaTheme="minorEastAsia" w:cstheme="minorEastAsia"/>
          <w:b w:val="0"/>
          <w:bCs w:val="0"/>
          <w:color w:val="auto"/>
          <w:sz w:val="30"/>
          <w:szCs w:val="30"/>
        </w:rPr>
        <w:t>严格书记党课制度，书记带头讲党课、班子成员到联点社区（村）讲党课</w:t>
      </w:r>
      <w:r>
        <w:rPr>
          <w:rFonts w:hint="eastAsia" w:asciiTheme="minorEastAsia" w:hAnsiTheme="minorEastAsia" w:eastAsiaTheme="minorEastAsia" w:cstheme="minorEastAsia"/>
          <w:b w:val="0"/>
          <w:bCs w:val="0"/>
          <w:color w:val="auto"/>
          <w:sz w:val="30"/>
          <w:szCs w:val="30"/>
          <w:lang w:eastAsia="zh-CN"/>
        </w:rPr>
        <w:t>，街道中心组开展</w:t>
      </w:r>
      <w:r>
        <w:rPr>
          <w:rFonts w:hint="eastAsia" w:asciiTheme="minorEastAsia" w:hAnsiTheme="minorEastAsia" w:eastAsiaTheme="minorEastAsia" w:cstheme="minorEastAsia"/>
          <w:b w:val="0"/>
          <w:bCs w:val="0"/>
          <w:color w:val="auto"/>
          <w:sz w:val="30"/>
          <w:szCs w:val="30"/>
          <w:lang w:val="en-US" w:eastAsia="zh-CN"/>
        </w:rPr>
        <w:t>13次专题学习讨论</w:t>
      </w:r>
      <w:r>
        <w:rPr>
          <w:rFonts w:hint="eastAsia" w:asciiTheme="minorEastAsia" w:hAnsiTheme="minorEastAsia" w:eastAsiaTheme="minorEastAsia" w:cstheme="minorEastAsia"/>
          <w:b w:val="0"/>
          <w:bCs w:val="0"/>
          <w:color w:val="auto"/>
          <w:sz w:val="30"/>
          <w:szCs w:val="30"/>
          <w:lang w:eastAsia="zh-CN"/>
        </w:rPr>
        <w:t>。</w:t>
      </w:r>
      <w:r>
        <w:rPr>
          <w:rFonts w:hint="eastAsia" w:asciiTheme="minorEastAsia" w:hAnsiTheme="minorEastAsia" w:eastAsiaTheme="minorEastAsia" w:cstheme="minorEastAsia"/>
          <w:b w:val="0"/>
          <w:bCs w:val="0"/>
          <w:i w:val="0"/>
          <w:caps w:val="0"/>
          <w:color w:val="auto"/>
          <w:spacing w:val="0"/>
          <w:w w:val="100"/>
          <w:sz w:val="30"/>
          <w:szCs w:val="30"/>
          <w:lang w:eastAsia="zh-CN"/>
        </w:rPr>
        <w:t>推进清廉东岸建设，</w:t>
      </w:r>
      <w:r>
        <w:rPr>
          <w:rFonts w:hint="eastAsia" w:asciiTheme="minorEastAsia" w:hAnsiTheme="minorEastAsia" w:eastAsiaTheme="minorEastAsia" w:cstheme="minorEastAsia"/>
          <w:b w:val="0"/>
          <w:bCs w:val="0"/>
          <w:i w:val="0"/>
          <w:caps w:val="0"/>
          <w:color w:val="auto"/>
          <w:spacing w:val="0"/>
          <w:w w:val="100"/>
          <w:sz w:val="30"/>
          <w:szCs w:val="30"/>
          <w:lang w:val="en-US" w:eastAsia="zh-CN"/>
        </w:rPr>
        <w:t>建成</w:t>
      </w:r>
      <w:r>
        <w:rPr>
          <w:rFonts w:hint="eastAsia" w:asciiTheme="minorEastAsia" w:hAnsiTheme="minorEastAsia" w:eastAsiaTheme="minorEastAsia" w:cstheme="minorEastAsia"/>
          <w:b w:val="0"/>
          <w:bCs w:val="0"/>
          <w:i w:val="0"/>
          <w:caps w:val="0"/>
          <w:color w:val="auto"/>
          <w:spacing w:val="0"/>
          <w:w w:val="100"/>
          <w:sz w:val="30"/>
          <w:szCs w:val="30"/>
          <w:lang w:eastAsia="zh-CN"/>
        </w:rPr>
        <w:t>东瑞智慧清廉社区，瑞祥陶瓷市场“清廉市场”，黄泥塘社区与东雅中学共建共享“清廉学校”</w:t>
      </w:r>
      <w:r>
        <w:rPr>
          <w:rFonts w:hint="eastAsia" w:asciiTheme="minorEastAsia" w:hAnsiTheme="minorEastAsia" w:cstheme="minorEastAsia"/>
          <w:b w:val="0"/>
          <w:bCs w:val="0"/>
          <w:i w:val="0"/>
          <w:caps w:val="0"/>
          <w:color w:val="auto"/>
          <w:spacing w:val="0"/>
          <w:w w:val="100"/>
          <w:sz w:val="30"/>
          <w:szCs w:val="30"/>
          <w:lang w:eastAsia="zh-CN"/>
        </w:rPr>
        <w:t>；二是</w:t>
      </w:r>
      <w:r>
        <w:rPr>
          <w:rFonts w:hint="eastAsia" w:asciiTheme="minorEastAsia" w:hAnsiTheme="minorEastAsia" w:eastAsiaTheme="minorEastAsia" w:cstheme="minorEastAsia"/>
          <w:b w:val="0"/>
          <w:bCs w:val="0"/>
          <w:color w:val="auto"/>
          <w:sz w:val="30"/>
          <w:szCs w:val="30"/>
        </w:rPr>
        <w:t>紧盯重要节点，</w:t>
      </w:r>
      <w:r>
        <w:rPr>
          <w:rFonts w:hint="eastAsia" w:asciiTheme="minorEastAsia" w:hAnsiTheme="minorEastAsia" w:eastAsiaTheme="minorEastAsia" w:cstheme="minorEastAsia"/>
          <w:b w:val="0"/>
          <w:bCs w:val="0"/>
          <w:color w:val="auto"/>
          <w:sz w:val="30"/>
          <w:szCs w:val="30"/>
          <w:lang w:eastAsia="zh-CN"/>
        </w:rPr>
        <w:t>开展</w:t>
      </w:r>
      <w:r>
        <w:rPr>
          <w:rFonts w:hint="eastAsia" w:asciiTheme="minorEastAsia" w:hAnsiTheme="minorEastAsia" w:eastAsiaTheme="minorEastAsia" w:cstheme="minorEastAsia"/>
          <w:b w:val="0"/>
          <w:bCs w:val="0"/>
          <w:color w:val="auto"/>
          <w:sz w:val="30"/>
          <w:szCs w:val="30"/>
        </w:rPr>
        <w:t>明察暗访和通报曝光</w:t>
      </w:r>
      <w:r>
        <w:rPr>
          <w:rFonts w:hint="eastAsia" w:asciiTheme="minorEastAsia" w:hAnsiTheme="minorEastAsia" w:eastAsiaTheme="minorEastAsia" w:cstheme="minorEastAsia"/>
          <w:b w:val="0"/>
          <w:bCs w:val="0"/>
          <w:color w:val="auto"/>
          <w:sz w:val="30"/>
          <w:szCs w:val="30"/>
          <w:lang w:eastAsia="zh-CN"/>
        </w:rPr>
        <w:t>。</w:t>
      </w:r>
      <w:r>
        <w:rPr>
          <w:rFonts w:hint="eastAsia" w:asciiTheme="minorEastAsia" w:hAnsiTheme="minorEastAsia" w:eastAsiaTheme="minorEastAsia" w:cstheme="minorEastAsia"/>
          <w:b w:val="0"/>
          <w:bCs w:val="0"/>
          <w:color w:val="auto"/>
          <w:sz w:val="30"/>
          <w:szCs w:val="30"/>
        </w:rPr>
        <w:t>严格执行有关纪律要求，做到令行禁止。</w:t>
      </w:r>
      <w:r>
        <w:rPr>
          <w:rFonts w:hint="eastAsia" w:asciiTheme="minorEastAsia" w:hAnsiTheme="minorEastAsia" w:eastAsiaTheme="minorEastAsia" w:cstheme="minorEastAsia"/>
          <w:b w:val="0"/>
          <w:bCs w:val="0"/>
          <w:color w:val="auto"/>
          <w:spacing w:val="8"/>
          <w:sz w:val="30"/>
          <w:szCs w:val="30"/>
        </w:rPr>
        <w:t>坚决查办违规违纪案件，</w:t>
      </w:r>
      <w:r>
        <w:rPr>
          <w:rFonts w:hint="eastAsia" w:asciiTheme="minorEastAsia" w:hAnsiTheme="minorEastAsia" w:eastAsiaTheme="minorEastAsia" w:cstheme="minorEastAsia"/>
          <w:b w:val="0"/>
          <w:bCs w:val="0"/>
          <w:color w:val="auto"/>
          <w:sz w:val="30"/>
          <w:szCs w:val="30"/>
          <w:lang w:eastAsia="zh-CN"/>
        </w:rPr>
        <w:t>查处</w:t>
      </w:r>
      <w:r>
        <w:rPr>
          <w:rFonts w:hint="eastAsia" w:asciiTheme="minorEastAsia" w:hAnsiTheme="minorEastAsia" w:eastAsiaTheme="minorEastAsia" w:cstheme="minorEastAsia"/>
          <w:b w:val="0"/>
          <w:bCs w:val="0"/>
          <w:color w:val="auto"/>
          <w:sz w:val="30"/>
          <w:szCs w:val="30"/>
          <w:lang w:val="en-US" w:eastAsia="zh-CN"/>
        </w:rPr>
        <w:t>2名党员干部违纪违法问题</w:t>
      </w:r>
      <w:r>
        <w:rPr>
          <w:rFonts w:hint="eastAsia" w:asciiTheme="minorEastAsia" w:hAnsiTheme="minorEastAsia" w:cstheme="minorEastAsia"/>
          <w:b w:val="0"/>
          <w:bCs w:val="0"/>
          <w:color w:val="auto"/>
          <w:sz w:val="30"/>
          <w:szCs w:val="30"/>
          <w:lang w:val="en-US" w:eastAsia="zh-CN"/>
        </w:rPr>
        <w:t>；</w:t>
      </w:r>
      <w:r>
        <w:rPr>
          <w:rFonts w:hint="eastAsia" w:asciiTheme="minorEastAsia" w:hAnsiTheme="minorEastAsia" w:eastAsiaTheme="minorEastAsia" w:cstheme="minorEastAsia"/>
          <w:b w:val="0"/>
          <w:bCs w:val="0"/>
          <w:color w:val="auto"/>
          <w:kern w:val="2"/>
          <w:sz w:val="30"/>
          <w:szCs w:val="30"/>
          <w:lang w:val="en-US" w:eastAsia="zh-CN" w:bidi="ar-SA"/>
        </w:rPr>
        <w:t>落实依法决策、科学决策、民主决策、讨论和决定重大问题等情况</w:t>
      </w:r>
      <w:r>
        <w:rPr>
          <w:rFonts w:hint="eastAsia" w:asciiTheme="minorEastAsia" w:hAnsiTheme="minorEastAsia" w:cstheme="minorEastAsia"/>
          <w:b w:val="0"/>
          <w:bCs w:val="0"/>
          <w:color w:val="auto"/>
          <w:kern w:val="2"/>
          <w:sz w:val="30"/>
          <w:szCs w:val="30"/>
          <w:lang w:val="en-US" w:eastAsia="zh-CN" w:bidi="ar-SA"/>
        </w:rPr>
        <w:t>；三是</w:t>
      </w:r>
      <w:r>
        <w:rPr>
          <w:rFonts w:hint="eastAsia" w:asciiTheme="minorEastAsia" w:hAnsiTheme="minorEastAsia" w:eastAsiaTheme="minorEastAsia" w:cstheme="minorEastAsia"/>
          <w:b w:val="0"/>
          <w:bCs w:val="0"/>
          <w:color w:val="auto"/>
          <w:sz w:val="30"/>
          <w:szCs w:val="30"/>
        </w:rPr>
        <w:t>落实谈心谈话制度，加深班子成员之间沟通、交流，动态掌握情况。按照民主集中制要求，“三重一大”</w:t>
      </w:r>
      <w:r>
        <w:rPr>
          <w:rFonts w:hint="eastAsia" w:asciiTheme="minorEastAsia" w:hAnsiTheme="minorEastAsia" w:eastAsiaTheme="minorEastAsia" w:cstheme="minorEastAsia"/>
          <w:color w:val="auto"/>
          <w:sz w:val="30"/>
          <w:szCs w:val="30"/>
        </w:rPr>
        <w:t>事项均在党政班子会上集体讨论决定</w:t>
      </w:r>
      <w:r>
        <w:rPr>
          <w:rFonts w:hint="eastAsia" w:asciiTheme="minorEastAsia" w:hAnsiTheme="minorEastAsia" w:cstheme="minorEastAsia"/>
          <w:color w:val="auto"/>
          <w:sz w:val="30"/>
          <w:szCs w:val="30"/>
          <w:lang w:eastAsia="zh-CN"/>
        </w:rPr>
        <w:t>；</w:t>
      </w:r>
      <w:r>
        <w:rPr>
          <w:rFonts w:hint="eastAsia" w:asciiTheme="minorEastAsia" w:hAnsiTheme="minorEastAsia" w:eastAsiaTheme="minorEastAsia" w:cstheme="minorEastAsia"/>
          <w:b w:val="0"/>
          <w:bCs w:val="0"/>
          <w:i w:val="0"/>
          <w:caps w:val="0"/>
          <w:color w:val="auto"/>
          <w:spacing w:val="0"/>
          <w:w w:val="100"/>
          <w:sz w:val="30"/>
          <w:szCs w:val="30"/>
          <w:lang w:val="en-US" w:eastAsia="zh-CN"/>
        </w:rPr>
        <w:t>履行</w:t>
      </w:r>
      <w:r>
        <w:rPr>
          <w:rFonts w:hint="eastAsia" w:asciiTheme="minorEastAsia" w:hAnsiTheme="minorEastAsia" w:eastAsiaTheme="minorEastAsia" w:cstheme="minorEastAsia"/>
          <w:b w:val="0"/>
          <w:i w:val="0"/>
          <w:caps w:val="0"/>
          <w:color w:val="auto"/>
          <w:spacing w:val="0"/>
          <w:w w:val="100"/>
          <w:sz w:val="30"/>
          <w:szCs w:val="30"/>
          <w:lang w:eastAsia="zh-CN"/>
        </w:rPr>
        <w:t>党风廉政建设第一责任人责任，党员干部以身作则，模范带头。</w:t>
      </w:r>
      <w:r>
        <w:rPr>
          <w:rFonts w:hint="eastAsia" w:asciiTheme="minorEastAsia" w:hAnsiTheme="minorEastAsia" w:cstheme="minorEastAsia"/>
          <w:b w:val="0"/>
          <w:i w:val="0"/>
          <w:caps w:val="0"/>
          <w:color w:val="auto"/>
          <w:spacing w:val="0"/>
          <w:w w:val="100"/>
          <w:sz w:val="30"/>
          <w:szCs w:val="30"/>
          <w:lang w:eastAsia="zh-CN"/>
        </w:rPr>
        <w:t>四是</w:t>
      </w:r>
      <w:r>
        <w:rPr>
          <w:rFonts w:hint="eastAsia" w:asciiTheme="minorEastAsia" w:hAnsiTheme="minorEastAsia" w:eastAsiaTheme="minorEastAsia" w:cstheme="minorEastAsia"/>
          <w:b w:val="0"/>
          <w:i w:val="0"/>
          <w:caps w:val="0"/>
          <w:color w:val="auto"/>
          <w:spacing w:val="0"/>
          <w:w w:val="100"/>
          <w:sz w:val="30"/>
          <w:szCs w:val="30"/>
          <w:lang w:eastAsia="zh-CN"/>
        </w:rPr>
        <w:t>开展3次警示教育，</w:t>
      </w:r>
      <w:r>
        <w:rPr>
          <w:rFonts w:hint="eastAsia" w:asciiTheme="minorEastAsia" w:hAnsiTheme="minorEastAsia" w:eastAsiaTheme="minorEastAsia" w:cstheme="minorEastAsia"/>
          <w:color w:val="auto"/>
          <w:sz w:val="30"/>
          <w:szCs w:val="30"/>
          <w:lang w:val="en-US" w:eastAsia="zh-CN"/>
        </w:rPr>
        <w:t>召开以案释纪廉政警示教</w:t>
      </w:r>
      <w:r>
        <w:rPr>
          <w:rFonts w:hint="eastAsia" w:asciiTheme="minorEastAsia" w:hAnsiTheme="minorEastAsia" w:eastAsiaTheme="minorEastAsia" w:cstheme="minorEastAsia"/>
          <w:color w:val="auto"/>
          <w:sz w:val="30"/>
          <w:szCs w:val="30"/>
        </w:rPr>
        <w:t>育大会</w:t>
      </w:r>
      <w:r>
        <w:rPr>
          <w:rFonts w:hint="eastAsia" w:asciiTheme="minorEastAsia" w:hAnsiTheme="minorEastAsia" w:eastAsiaTheme="minorEastAsia" w:cstheme="minorEastAsia"/>
          <w:color w:val="auto"/>
          <w:sz w:val="30"/>
          <w:szCs w:val="30"/>
          <w:lang w:eastAsia="zh-CN"/>
        </w:rPr>
        <w:t>。</w:t>
      </w:r>
      <w:r>
        <w:rPr>
          <w:rFonts w:hint="eastAsia" w:asciiTheme="minorEastAsia" w:hAnsiTheme="minorEastAsia" w:eastAsiaTheme="minorEastAsia" w:cstheme="minorEastAsia"/>
          <w:color w:val="auto"/>
          <w:sz w:val="30"/>
          <w:szCs w:val="30"/>
        </w:rPr>
        <w:t>开展疫情防控、自建房专项整治、红包礼金专项整治、安全生产、作风纪律、人大代表补选等日常督查，下发督查通报4期</w:t>
      </w:r>
      <w:r>
        <w:rPr>
          <w:rFonts w:hint="eastAsia" w:asciiTheme="minorEastAsia" w:hAnsiTheme="minorEastAsia" w:eastAsiaTheme="minorEastAsia" w:cstheme="minorEastAsia"/>
          <w:color w:val="auto"/>
          <w:sz w:val="30"/>
          <w:szCs w:val="30"/>
          <w:lang w:eastAsia="zh-CN"/>
        </w:rPr>
        <w:t>。</w:t>
      </w:r>
    </w:p>
    <w:p>
      <w:pPr>
        <w:pStyle w:val="18"/>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Theme="minorEastAsia" w:hAnsiTheme="minorEastAsia" w:eastAsiaTheme="minorEastAsia" w:cstheme="minorEastAsia"/>
          <w:color w:val="auto"/>
          <w:sz w:val="30"/>
          <w:szCs w:val="30"/>
          <w:lang w:eastAsia="zh-CN"/>
        </w:rPr>
      </w:pPr>
      <w:r>
        <w:rPr>
          <w:rFonts w:hint="eastAsia" w:cs="方正楷体_GBK" w:asciiTheme="minorHAnsi" w:hAnsiTheme="minorEastAsia" w:eastAsiaTheme="minorEastAsia"/>
          <w:b/>
          <w:bCs/>
          <w:kern w:val="10"/>
          <w:sz w:val="30"/>
          <w:szCs w:val="30"/>
        </w:rPr>
        <w:t>3、履职效能方面。</w:t>
      </w:r>
      <w:r>
        <w:rPr>
          <w:rFonts w:hint="eastAsia" w:cs="方正楷体_GBK" w:hAnsiTheme="minorEastAsia"/>
          <w:b w:val="0"/>
          <w:bCs w:val="0"/>
          <w:kern w:val="10"/>
          <w:sz w:val="30"/>
          <w:szCs w:val="30"/>
          <w:lang w:eastAsia="zh-CN"/>
        </w:rPr>
        <w:t>一是</w:t>
      </w:r>
      <w:r>
        <w:rPr>
          <w:rFonts w:hint="eastAsia" w:asciiTheme="minorEastAsia" w:hAnsiTheme="minorEastAsia" w:eastAsiaTheme="minorEastAsia" w:cstheme="minorEastAsia"/>
          <w:color w:val="auto"/>
          <w:sz w:val="30"/>
          <w:szCs w:val="30"/>
          <w:lang w:val="en-US" w:eastAsia="zh-CN"/>
        </w:rPr>
        <w:t>街道党工委</w:t>
      </w:r>
      <w:r>
        <w:rPr>
          <w:rFonts w:hint="eastAsia" w:asciiTheme="minorEastAsia" w:hAnsiTheme="minorEastAsia" w:eastAsiaTheme="minorEastAsia" w:cstheme="minorEastAsia"/>
          <w:color w:val="auto"/>
          <w:sz w:val="30"/>
          <w:szCs w:val="30"/>
        </w:rPr>
        <w:t>始终在思想上政治上行动上与上级保持高度一致，不断增强“四个意识”、坚定“四个自信”，坚决做到“两个维护”。</w:t>
      </w:r>
      <w:r>
        <w:rPr>
          <w:rFonts w:hint="eastAsia" w:asciiTheme="minorEastAsia" w:hAnsiTheme="minorEastAsia" w:eastAsiaTheme="minorEastAsia" w:cstheme="minorEastAsia"/>
          <w:color w:val="auto"/>
          <w:sz w:val="30"/>
          <w:szCs w:val="30"/>
          <w:lang w:eastAsia="zh-CN"/>
        </w:rPr>
        <w:t>积极贯彻落实</w:t>
      </w:r>
      <w:r>
        <w:rPr>
          <w:rFonts w:hint="eastAsia" w:asciiTheme="minorEastAsia" w:hAnsiTheme="minorEastAsia" w:eastAsiaTheme="minorEastAsia" w:cstheme="minorEastAsia"/>
          <w:color w:val="auto"/>
          <w:sz w:val="30"/>
          <w:szCs w:val="30"/>
        </w:rPr>
        <w:t>党的十九</w:t>
      </w:r>
      <w:r>
        <w:rPr>
          <w:rFonts w:hint="eastAsia" w:asciiTheme="minorEastAsia" w:hAnsiTheme="minorEastAsia" w:eastAsiaTheme="minorEastAsia" w:cstheme="minorEastAsia"/>
          <w:color w:val="auto"/>
          <w:sz w:val="30"/>
          <w:szCs w:val="30"/>
          <w:lang w:eastAsia="zh-CN"/>
        </w:rPr>
        <w:t>历届</w:t>
      </w:r>
      <w:r>
        <w:rPr>
          <w:rFonts w:hint="eastAsia" w:asciiTheme="minorEastAsia" w:hAnsiTheme="minorEastAsia" w:eastAsiaTheme="minorEastAsia" w:cstheme="minorEastAsia"/>
          <w:color w:val="auto"/>
          <w:sz w:val="30"/>
          <w:szCs w:val="30"/>
        </w:rPr>
        <w:t>全会</w:t>
      </w:r>
      <w:r>
        <w:rPr>
          <w:rFonts w:hint="eastAsia" w:asciiTheme="minorEastAsia" w:hAnsiTheme="minorEastAsia" w:eastAsiaTheme="minorEastAsia" w:cstheme="minorEastAsia"/>
          <w:color w:val="auto"/>
          <w:sz w:val="30"/>
          <w:szCs w:val="30"/>
          <w:lang w:eastAsia="zh-CN"/>
        </w:rPr>
        <w:t>和党的二十大</w:t>
      </w:r>
      <w:r>
        <w:rPr>
          <w:rFonts w:hint="eastAsia" w:asciiTheme="minorEastAsia" w:hAnsiTheme="minorEastAsia" w:eastAsiaTheme="minorEastAsia" w:cstheme="minorEastAsia"/>
          <w:color w:val="auto"/>
          <w:sz w:val="30"/>
          <w:szCs w:val="30"/>
        </w:rPr>
        <w:t>精神</w:t>
      </w:r>
      <w:r>
        <w:rPr>
          <w:rFonts w:hint="eastAsia" w:asciiTheme="minorEastAsia" w:hAnsiTheme="minorEastAsia" w:eastAsiaTheme="minorEastAsia" w:cstheme="minorEastAsia"/>
          <w:color w:val="auto"/>
          <w:sz w:val="30"/>
          <w:szCs w:val="30"/>
          <w:lang w:eastAsia="zh-CN"/>
        </w:rPr>
        <w:t>、</w:t>
      </w:r>
      <w:r>
        <w:rPr>
          <w:rFonts w:hint="eastAsia" w:asciiTheme="minorEastAsia" w:hAnsiTheme="minorEastAsia" w:eastAsiaTheme="minorEastAsia" w:cstheme="minorEastAsia"/>
          <w:color w:val="auto"/>
          <w:kern w:val="0"/>
          <w:sz w:val="30"/>
          <w:szCs w:val="30"/>
          <w:lang w:bidi="ar"/>
        </w:rPr>
        <w:t>习近平新时代中国特色社会主义思想</w:t>
      </w:r>
      <w:r>
        <w:rPr>
          <w:rFonts w:hint="eastAsia" w:asciiTheme="minorEastAsia" w:hAnsiTheme="minorEastAsia" w:eastAsiaTheme="minorEastAsia" w:cstheme="minorEastAsia"/>
          <w:color w:val="auto"/>
          <w:sz w:val="30"/>
          <w:szCs w:val="30"/>
          <w:lang w:eastAsia="zh-CN"/>
        </w:rPr>
        <w:t>和</w:t>
      </w:r>
      <w:r>
        <w:rPr>
          <w:rFonts w:hint="eastAsia" w:asciiTheme="minorEastAsia" w:hAnsiTheme="minorEastAsia" w:eastAsiaTheme="minorEastAsia" w:cstheme="minorEastAsia"/>
          <w:color w:val="auto"/>
          <w:kern w:val="0"/>
          <w:sz w:val="30"/>
          <w:szCs w:val="30"/>
          <w:lang w:eastAsia="zh-CN" w:bidi="ar"/>
        </w:rPr>
        <w:t>省、市党代会和</w:t>
      </w:r>
      <w:r>
        <w:rPr>
          <w:rFonts w:hint="eastAsia" w:asciiTheme="minorEastAsia" w:hAnsiTheme="minorEastAsia" w:eastAsiaTheme="minorEastAsia" w:cstheme="minorEastAsia"/>
          <w:color w:val="auto"/>
          <w:kern w:val="0"/>
          <w:sz w:val="30"/>
          <w:szCs w:val="30"/>
          <w:lang w:bidi="ar"/>
        </w:rPr>
        <w:t>区第六次党代会精神</w:t>
      </w:r>
      <w:r>
        <w:rPr>
          <w:rFonts w:hint="eastAsia" w:asciiTheme="minorEastAsia" w:hAnsiTheme="minorEastAsia" w:eastAsiaTheme="minorEastAsia" w:cstheme="minorEastAsia"/>
          <w:color w:val="auto"/>
          <w:kern w:val="0"/>
          <w:sz w:val="30"/>
          <w:szCs w:val="30"/>
          <w:lang w:eastAsia="zh-CN" w:bidi="ar"/>
        </w:rPr>
        <w:t>，</w:t>
      </w:r>
      <w:r>
        <w:rPr>
          <w:rFonts w:hint="eastAsia" w:asciiTheme="minorEastAsia" w:hAnsiTheme="minorEastAsia" w:eastAsiaTheme="minorEastAsia" w:cstheme="minorEastAsia"/>
          <w:color w:val="auto"/>
          <w:sz w:val="30"/>
          <w:szCs w:val="30"/>
          <w:lang w:eastAsia="zh-CN"/>
        </w:rPr>
        <w:t>把全街干部职工的思想统一到中央和省市区委的决策部署上来，</w:t>
      </w:r>
      <w:r>
        <w:rPr>
          <w:rFonts w:hint="eastAsia" w:asciiTheme="minorEastAsia" w:hAnsiTheme="minorEastAsia" w:eastAsiaTheme="minorEastAsia" w:cstheme="minorEastAsia"/>
          <w:color w:val="auto"/>
          <w:sz w:val="30"/>
          <w:szCs w:val="30"/>
        </w:rPr>
        <w:t>确保政令畅通</w:t>
      </w:r>
      <w:r>
        <w:rPr>
          <w:rFonts w:hint="eastAsia" w:asciiTheme="minorEastAsia" w:hAnsiTheme="minorEastAsia" w:cstheme="minorEastAsia"/>
          <w:color w:val="auto"/>
          <w:sz w:val="30"/>
          <w:szCs w:val="30"/>
          <w:lang w:eastAsia="zh-CN"/>
        </w:rPr>
        <w:t>；二是</w:t>
      </w:r>
      <w:r>
        <w:rPr>
          <w:rFonts w:hint="eastAsia" w:asciiTheme="minorEastAsia" w:hAnsiTheme="minorEastAsia" w:eastAsiaTheme="minorEastAsia" w:cstheme="minorEastAsia"/>
          <w:b w:val="0"/>
          <w:i w:val="0"/>
          <w:caps w:val="0"/>
          <w:color w:val="auto"/>
          <w:spacing w:val="0"/>
          <w:w w:val="100"/>
          <w:sz w:val="30"/>
          <w:szCs w:val="30"/>
        </w:rPr>
        <w:t>认真履行党建“第一责任”，</w:t>
      </w:r>
      <w:r>
        <w:rPr>
          <w:rFonts w:hint="eastAsia" w:asciiTheme="minorEastAsia" w:hAnsiTheme="minorEastAsia" w:eastAsiaTheme="minorEastAsia" w:cstheme="minorEastAsia"/>
          <w:b w:val="0"/>
          <w:bCs w:val="0"/>
          <w:color w:val="auto"/>
          <w:sz w:val="30"/>
          <w:szCs w:val="30"/>
          <w:lang w:val="en-US" w:eastAsia="zh-CN"/>
        </w:rPr>
        <w:t>开展“基层党员进党校”、“新时代基层干部主题培训班”等培训宣讲30余次。结合“芙蓉夜话.东岸篇”，保障党的二十大精神学习宣讲落到实处。</w:t>
      </w:r>
      <w:r>
        <w:rPr>
          <w:rFonts w:hint="eastAsia" w:asciiTheme="minorEastAsia" w:hAnsiTheme="minorEastAsia" w:eastAsiaTheme="minorEastAsia" w:cstheme="minorEastAsia"/>
          <w:color w:val="auto"/>
          <w:sz w:val="30"/>
          <w:szCs w:val="30"/>
        </w:rPr>
        <w:t>重点开展拆迁安置、房屋质量、物业纠纷等风险隐患的基础调查、滚动排查,提高了对风险隐患的动态监测、实时预警能力。围绕疫情防控、自建房整</w:t>
      </w:r>
      <w:r>
        <w:rPr>
          <w:rFonts w:hint="eastAsia" w:asciiTheme="minorEastAsia" w:hAnsiTheme="minorEastAsia" w:eastAsiaTheme="minorEastAsia" w:cstheme="minorEastAsia"/>
          <w:color w:val="auto"/>
          <w:sz w:val="30"/>
          <w:szCs w:val="30"/>
          <w:lang w:eastAsia="zh-CN"/>
        </w:rPr>
        <w:t>治</w:t>
      </w:r>
      <w:r>
        <w:rPr>
          <w:rFonts w:hint="eastAsia" w:asciiTheme="minorEastAsia" w:hAnsiTheme="minorEastAsia" w:eastAsiaTheme="minorEastAsia" w:cstheme="minorEastAsia"/>
          <w:color w:val="auto"/>
          <w:sz w:val="30"/>
          <w:szCs w:val="30"/>
        </w:rPr>
        <w:t>、新时代文明实践和节日活动等开展正面宣传，积极策划拍摄了《全民一心 携手抗疫》宣传片和系列正能量报道</w:t>
      </w:r>
      <w:r>
        <w:rPr>
          <w:rFonts w:hint="eastAsia" w:asciiTheme="minorEastAsia" w:hAnsiTheme="minorEastAsia" w:cstheme="minorEastAsia"/>
          <w:color w:val="auto"/>
          <w:sz w:val="30"/>
          <w:szCs w:val="30"/>
          <w:lang w:eastAsia="zh-CN"/>
        </w:rPr>
        <w:t>；</w:t>
      </w:r>
      <w:r>
        <w:rPr>
          <w:rFonts w:hint="eastAsia" w:asciiTheme="minorEastAsia" w:hAnsiTheme="minorEastAsia" w:cstheme="minorEastAsia"/>
          <w:color w:val="auto"/>
          <w:sz w:val="30"/>
          <w:szCs w:val="30"/>
          <w:lang w:val="en-US" w:eastAsia="zh-CN"/>
        </w:rPr>
        <w:t>三是</w:t>
      </w:r>
      <w:r>
        <w:rPr>
          <w:rFonts w:hint="eastAsia" w:asciiTheme="minorEastAsia" w:hAnsiTheme="minorEastAsia" w:eastAsiaTheme="minorEastAsia" w:cstheme="minorEastAsia"/>
          <w:color w:val="auto"/>
          <w:sz w:val="30"/>
          <w:szCs w:val="30"/>
        </w:rPr>
        <w:t>以芙蓉先锋共同体为抓手，推进“党建聚合力工程”。整合铁塔总部、中交地产、规划设计院等重点单位力量，结对共建，共同服务基层治理。开展党建品牌提质专项行动，以“智慧+服务”为切口，打造“幸福向东e家亲”党建品牌。</w:t>
      </w:r>
      <w:r>
        <w:rPr>
          <w:rFonts w:hint="eastAsia" w:asciiTheme="minorEastAsia" w:hAnsiTheme="minorEastAsia" w:eastAsiaTheme="minorEastAsia" w:cstheme="minorEastAsia"/>
          <w:color w:val="auto"/>
          <w:sz w:val="30"/>
          <w:szCs w:val="30"/>
          <w:lang w:val="en-US" w:eastAsia="zh-CN"/>
        </w:rPr>
        <w:t>试行</w:t>
      </w:r>
      <w:r>
        <w:rPr>
          <w:rFonts w:hint="eastAsia" w:asciiTheme="minorEastAsia" w:hAnsiTheme="minorEastAsia" w:eastAsiaTheme="minorEastAsia" w:cstheme="minorEastAsia"/>
          <w:color w:val="auto"/>
          <w:sz w:val="30"/>
          <w:szCs w:val="30"/>
          <w:lang w:eastAsia="zh-CN"/>
        </w:rPr>
        <w:t>“</w:t>
      </w:r>
      <w:r>
        <w:rPr>
          <w:rFonts w:hint="eastAsia" w:asciiTheme="minorEastAsia" w:hAnsiTheme="minorEastAsia" w:eastAsiaTheme="minorEastAsia" w:cstheme="minorEastAsia"/>
          <w:color w:val="auto"/>
          <w:sz w:val="30"/>
          <w:szCs w:val="30"/>
        </w:rPr>
        <w:t>融合服务</w:t>
      </w:r>
      <w:r>
        <w:rPr>
          <w:rFonts w:hint="eastAsia" w:asciiTheme="minorEastAsia" w:hAnsiTheme="minorEastAsia" w:eastAsiaTheme="minorEastAsia" w:cstheme="minorEastAsia"/>
          <w:color w:val="auto"/>
          <w:sz w:val="30"/>
          <w:szCs w:val="30"/>
          <w:lang w:eastAsia="zh-CN"/>
        </w:rPr>
        <w:t>”</w:t>
      </w:r>
      <w:r>
        <w:rPr>
          <w:rFonts w:hint="eastAsia" w:asciiTheme="minorEastAsia" w:hAnsiTheme="minorEastAsia" w:eastAsiaTheme="minorEastAsia" w:cstheme="minorEastAsia"/>
          <w:color w:val="auto"/>
          <w:sz w:val="30"/>
          <w:szCs w:val="30"/>
        </w:rPr>
        <w:t>新模式</w:t>
      </w:r>
      <w:r>
        <w:rPr>
          <w:rFonts w:hint="eastAsia" w:asciiTheme="minorEastAsia" w:hAnsiTheme="minorEastAsia" w:eastAsiaTheme="minorEastAsia" w:cstheme="minorEastAsia"/>
          <w:color w:val="auto"/>
          <w:sz w:val="30"/>
          <w:szCs w:val="30"/>
          <w:lang w:eastAsia="zh-CN"/>
        </w:rPr>
        <w:t>，</w:t>
      </w:r>
      <w:r>
        <w:rPr>
          <w:rFonts w:hint="eastAsia" w:asciiTheme="minorEastAsia" w:hAnsiTheme="minorEastAsia" w:eastAsiaTheme="minorEastAsia" w:cstheme="minorEastAsia"/>
          <w:color w:val="auto"/>
          <w:sz w:val="30"/>
          <w:szCs w:val="30"/>
          <w:lang w:val="en-US" w:eastAsia="zh-CN"/>
        </w:rPr>
        <w:t>建设</w:t>
      </w:r>
      <w:r>
        <w:rPr>
          <w:rFonts w:hint="eastAsia" w:asciiTheme="minorEastAsia" w:hAnsiTheme="minorEastAsia" w:eastAsiaTheme="minorEastAsia" w:cstheme="minorEastAsia"/>
          <w:color w:val="auto"/>
          <w:sz w:val="30"/>
          <w:szCs w:val="30"/>
        </w:rPr>
        <w:t>“24小时不打烊”社区</w:t>
      </w:r>
      <w:r>
        <w:rPr>
          <w:rFonts w:hint="eastAsia" w:asciiTheme="minorEastAsia" w:hAnsiTheme="minorEastAsia" w:eastAsiaTheme="minorEastAsia" w:cstheme="minorEastAsia"/>
          <w:color w:val="auto"/>
          <w:sz w:val="30"/>
          <w:szCs w:val="30"/>
          <w:lang w:eastAsia="zh-CN"/>
        </w:rPr>
        <w:t>，在区</w:t>
      </w:r>
      <w:r>
        <w:rPr>
          <w:rFonts w:hint="eastAsia" w:asciiTheme="minorEastAsia" w:hAnsiTheme="minorEastAsia" w:eastAsiaTheme="minorEastAsia" w:cstheme="minorEastAsia"/>
          <w:color w:val="auto"/>
          <w:sz w:val="30"/>
          <w:szCs w:val="30"/>
        </w:rPr>
        <w:t>基层党建现场观摩拉练中获评“优秀”</w:t>
      </w:r>
      <w:r>
        <w:rPr>
          <w:rFonts w:hint="eastAsia" w:asciiTheme="minorEastAsia" w:hAnsiTheme="minorEastAsia" w:eastAsiaTheme="minorEastAsia" w:cstheme="minorEastAsia"/>
          <w:color w:val="auto"/>
          <w:sz w:val="30"/>
          <w:szCs w:val="30"/>
          <w:lang w:eastAsia="zh-CN"/>
        </w:rPr>
        <w:t>。</w:t>
      </w:r>
    </w:p>
    <w:p>
      <w:pPr>
        <w:pStyle w:val="18"/>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Theme="minorEastAsia" w:hAnsiTheme="minorEastAsia" w:eastAsiaTheme="minorEastAsia" w:cstheme="minorEastAsia"/>
          <w:b/>
          <w:bCs/>
          <w:color w:val="auto"/>
          <w:sz w:val="30"/>
          <w:szCs w:val="30"/>
          <w:lang w:val="en-US" w:eastAsia="zh-CN"/>
        </w:rPr>
      </w:pPr>
      <w:r>
        <w:rPr>
          <w:rFonts w:hint="eastAsia" w:cs="仿宋_GB2312" w:asciiTheme="minorHAnsi" w:hAnsiTheme="minorHAnsi" w:eastAsiaTheme="minorEastAsia"/>
          <w:b/>
          <w:kern w:val="10"/>
          <w:sz w:val="30"/>
          <w:szCs w:val="30"/>
        </w:rPr>
        <w:t>4、社会效应方面。</w:t>
      </w:r>
      <w:r>
        <w:rPr>
          <w:rFonts w:hint="eastAsia" w:asciiTheme="minorEastAsia" w:hAnsiTheme="minorEastAsia" w:eastAsiaTheme="minorEastAsia" w:cstheme="minorEastAsia"/>
          <w:b w:val="0"/>
          <w:bCs w:val="0"/>
          <w:color w:val="auto"/>
          <w:sz w:val="30"/>
          <w:szCs w:val="30"/>
          <w:lang w:eastAsia="zh-CN"/>
        </w:rPr>
        <w:t>《三十年述说不变的初心》在2022年全市精品党课征集活动中获评“优秀精品党课”、隆平水稻博物馆</w:t>
      </w:r>
      <w:r>
        <w:rPr>
          <w:rFonts w:hint="eastAsia" w:asciiTheme="minorEastAsia" w:hAnsiTheme="minorEastAsia" w:eastAsiaTheme="minorEastAsia" w:cstheme="minorEastAsia"/>
          <w:color w:val="auto"/>
          <w:sz w:val="30"/>
          <w:szCs w:val="30"/>
          <w:lang w:val="en-US" w:eastAsia="zh-CN"/>
        </w:rPr>
        <w:t>“传播稻作知识 弘扬农耕文化”项目获评“全国特别受百姓喜爱的学习品牌项目”和2022 年湖南省“终身学习品牌项目”、以及市终身学习活动品牌、</w:t>
      </w:r>
      <w:r>
        <w:rPr>
          <w:rFonts w:hint="eastAsia" w:asciiTheme="minorEastAsia" w:hAnsiTheme="minorEastAsia" w:eastAsiaTheme="minorEastAsia" w:cstheme="minorEastAsia"/>
          <w:color w:val="auto"/>
          <w:sz w:val="30"/>
          <w:szCs w:val="30"/>
        </w:rPr>
        <w:t>《“红色物业”激活小区治理“新引擎”》上稿红星网</w:t>
      </w:r>
      <w:r>
        <w:rPr>
          <w:rFonts w:hint="eastAsia" w:asciiTheme="minorEastAsia" w:hAnsiTheme="minorEastAsia" w:eastAsiaTheme="minorEastAsia" w:cstheme="minorEastAsia"/>
          <w:color w:val="auto"/>
          <w:sz w:val="30"/>
          <w:szCs w:val="30"/>
          <w:lang w:eastAsia="zh-CN"/>
        </w:rPr>
        <w:t>、</w:t>
      </w:r>
      <w:r>
        <w:rPr>
          <w:rFonts w:hint="eastAsia" w:asciiTheme="minorEastAsia" w:hAnsiTheme="minorEastAsia" w:eastAsiaTheme="minorEastAsia" w:cstheme="minorEastAsia"/>
          <w:color w:val="auto"/>
          <w:sz w:val="30"/>
          <w:szCs w:val="30"/>
        </w:rPr>
        <w:t>《“夜课堂”为党员培训赋能增效》上稿长沙党建</w:t>
      </w:r>
      <w:r>
        <w:rPr>
          <w:rFonts w:hint="eastAsia" w:asciiTheme="minorEastAsia" w:hAnsiTheme="minorEastAsia" w:eastAsiaTheme="minorEastAsia" w:cstheme="minorEastAsia"/>
          <w:color w:val="auto"/>
          <w:sz w:val="30"/>
          <w:szCs w:val="30"/>
          <w:lang w:eastAsia="zh-CN"/>
        </w:rPr>
        <w:t>、</w:t>
      </w:r>
      <w:r>
        <w:rPr>
          <w:rFonts w:hint="eastAsia" w:asciiTheme="minorEastAsia" w:hAnsiTheme="minorEastAsia" w:eastAsiaTheme="minorEastAsia" w:cstheme="minorEastAsia"/>
          <w:color w:val="auto"/>
          <w:sz w:val="30"/>
          <w:szCs w:val="30"/>
          <w:lang w:val="en-US" w:eastAsia="zh-CN"/>
        </w:rPr>
        <w:t>党管武装工作获评市五星级达标单位、打出“组合拳” 确保“零事故”-长沙市芙蓉区东岸街道安全生产工作纪实上稿湖南安全与防灾、“自行车手闸厂、潇湘玻璃、鑫意金属”三个案例在应急管理部互联网+系统中被评为典型案例、获评市第七次全国人口普查先进集体、张粤宁同志获评市第七次全国人口普查先进个人。</w:t>
      </w:r>
    </w:p>
    <w:p>
      <w:pPr>
        <w:pStyle w:val="5"/>
        <w:ind w:left="0" w:leftChars="0" w:firstLine="602" w:firstLineChars="200"/>
        <w:rPr>
          <w:rFonts w:hint="eastAsia" w:asciiTheme="minorEastAsia" w:hAnsiTheme="minorEastAsia" w:eastAsiaTheme="minorEastAsia" w:cstheme="minorEastAsia"/>
          <w:b w:val="0"/>
          <w:bCs w:val="0"/>
          <w:color w:val="auto"/>
          <w:sz w:val="30"/>
          <w:szCs w:val="30"/>
          <w:lang w:val="en-US" w:eastAsia="zh-CN"/>
        </w:rPr>
      </w:pPr>
      <w:r>
        <w:rPr>
          <w:rFonts w:hint="eastAsia" w:cs="方正楷体_GBK" w:asciiTheme="minorHAnsi" w:hAnsiTheme="minorEastAsia" w:eastAsiaTheme="minorEastAsia"/>
          <w:b/>
          <w:bCs/>
          <w:kern w:val="10"/>
          <w:sz w:val="30"/>
          <w:szCs w:val="30"/>
        </w:rPr>
        <w:t>5、可持续发展方面。</w:t>
      </w:r>
      <w:r>
        <w:rPr>
          <w:rFonts w:hint="eastAsia" w:asciiTheme="minorEastAsia" w:hAnsiTheme="minorEastAsia" w:eastAsiaTheme="minorEastAsia" w:cstheme="minorEastAsia"/>
          <w:b w:val="0"/>
          <w:bCs w:val="0"/>
          <w:color w:val="auto"/>
          <w:sz w:val="30"/>
          <w:szCs w:val="30"/>
          <w:lang w:eastAsia="zh-CN"/>
        </w:rPr>
        <w:t>真抓实干营造优良发展大局，持续优化营商环境，“一办制”企业服务中心和</w:t>
      </w:r>
      <w:r>
        <w:rPr>
          <w:rFonts w:hint="eastAsia" w:asciiTheme="minorEastAsia" w:hAnsiTheme="minorEastAsia" w:eastAsiaTheme="minorEastAsia" w:cstheme="minorEastAsia"/>
          <w:b w:val="0"/>
          <w:bCs w:val="0"/>
          <w:color w:val="auto"/>
          <w:sz w:val="30"/>
          <w:szCs w:val="30"/>
          <w:lang w:val="en-US" w:eastAsia="zh-CN"/>
        </w:rPr>
        <w:t>“聚合赋能企业库”作用明显，</w:t>
      </w:r>
      <w:r>
        <w:rPr>
          <w:rFonts w:hint="eastAsia" w:asciiTheme="minorEastAsia" w:hAnsiTheme="minorEastAsia" w:eastAsiaTheme="minorEastAsia" w:cstheme="minorEastAsia"/>
          <w:b w:val="0"/>
          <w:bCs w:val="0"/>
          <w:color w:val="auto"/>
          <w:sz w:val="30"/>
          <w:szCs w:val="30"/>
        </w:rPr>
        <w:t>新增“四上”单位</w:t>
      </w:r>
      <w:r>
        <w:rPr>
          <w:rFonts w:hint="eastAsia" w:asciiTheme="minorEastAsia" w:hAnsiTheme="minorEastAsia" w:eastAsiaTheme="minorEastAsia" w:cstheme="minorEastAsia"/>
          <w:b w:val="0"/>
          <w:bCs w:val="0"/>
          <w:color w:val="auto"/>
          <w:sz w:val="30"/>
          <w:szCs w:val="30"/>
          <w:lang w:val="en-US" w:eastAsia="zh-CN"/>
        </w:rPr>
        <w:t>9</w:t>
      </w:r>
      <w:r>
        <w:rPr>
          <w:rFonts w:hint="eastAsia" w:asciiTheme="minorEastAsia" w:hAnsiTheme="minorEastAsia" w:eastAsiaTheme="minorEastAsia" w:cstheme="minorEastAsia"/>
          <w:b w:val="0"/>
          <w:bCs w:val="0"/>
          <w:color w:val="auto"/>
          <w:sz w:val="30"/>
          <w:szCs w:val="30"/>
        </w:rPr>
        <w:t>家</w:t>
      </w:r>
      <w:r>
        <w:rPr>
          <w:rFonts w:hint="eastAsia" w:asciiTheme="minorEastAsia" w:hAnsiTheme="minorEastAsia" w:eastAsiaTheme="minorEastAsia" w:cstheme="minorEastAsia"/>
          <w:b w:val="0"/>
          <w:bCs w:val="0"/>
          <w:color w:val="auto"/>
          <w:sz w:val="30"/>
          <w:szCs w:val="30"/>
          <w:lang w:eastAsia="zh-CN"/>
        </w:rPr>
        <w:t>，</w:t>
      </w:r>
      <w:r>
        <w:rPr>
          <w:rFonts w:hint="eastAsia" w:asciiTheme="minorEastAsia" w:hAnsiTheme="minorEastAsia" w:eastAsiaTheme="minorEastAsia" w:cstheme="minorEastAsia"/>
          <w:b w:val="0"/>
          <w:bCs w:val="0"/>
          <w:color w:val="auto"/>
          <w:sz w:val="30"/>
          <w:szCs w:val="30"/>
        </w:rPr>
        <w:t>引进100万以上</w:t>
      </w:r>
      <w:r>
        <w:rPr>
          <w:rFonts w:hint="eastAsia" w:asciiTheme="minorEastAsia" w:hAnsiTheme="minorEastAsia" w:eastAsiaTheme="minorEastAsia" w:cstheme="minorEastAsia"/>
          <w:b w:val="0"/>
          <w:bCs w:val="0"/>
          <w:color w:val="auto"/>
          <w:sz w:val="30"/>
          <w:szCs w:val="30"/>
          <w:lang w:val="en-US" w:eastAsia="zh-CN"/>
        </w:rPr>
        <w:t>税收</w:t>
      </w:r>
      <w:r>
        <w:rPr>
          <w:rFonts w:hint="eastAsia" w:asciiTheme="minorEastAsia" w:hAnsiTheme="minorEastAsia" w:eastAsiaTheme="minorEastAsia" w:cstheme="minorEastAsia"/>
          <w:b w:val="0"/>
          <w:bCs w:val="0"/>
          <w:color w:val="auto"/>
          <w:sz w:val="30"/>
          <w:szCs w:val="30"/>
        </w:rPr>
        <w:t>企业2家、50万以上1家</w:t>
      </w:r>
      <w:r>
        <w:rPr>
          <w:rFonts w:hint="eastAsia" w:asciiTheme="minorEastAsia" w:hAnsiTheme="minorEastAsia" w:eastAsiaTheme="minorEastAsia" w:cstheme="minorEastAsia"/>
          <w:b w:val="0"/>
          <w:bCs w:val="0"/>
          <w:color w:val="auto"/>
          <w:sz w:val="30"/>
          <w:szCs w:val="30"/>
          <w:lang w:eastAsia="zh-CN"/>
        </w:rPr>
        <w:t>；进一步破解东大门市场历史遗留难题，将处置东大门市场历史遗留问题定位为“一年一件事”</w:t>
      </w:r>
      <w:r>
        <w:rPr>
          <w:rFonts w:hint="eastAsia" w:asciiTheme="minorEastAsia" w:hAnsiTheme="minorEastAsia" w:eastAsiaTheme="minorEastAsia" w:cstheme="minorEastAsia"/>
          <w:b w:val="0"/>
          <w:bCs w:val="0"/>
          <w:color w:val="auto"/>
          <w:sz w:val="30"/>
          <w:szCs w:val="30"/>
          <w:lang w:val="en-US" w:eastAsia="zh-CN"/>
        </w:rPr>
        <w:t>，成立专班，本着还原历史、尊重事实的态度推进遗留问题解决，已明确</w:t>
      </w:r>
      <w:r>
        <w:rPr>
          <w:rFonts w:hint="eastAsia" w:asciiTheme="minorEastAsia" w:hAnsiTheme="minorEastAsia" w:eastAsiaTheme="minorEastAsia" w:cstheme="minorEastAsia"/>
          <w:b w:val="0"/>
          <w:bCs w:val="0"/>
          <w:color w:val="auto"/>
          <w:sz w:val="30"/>
          <w:szCs w:val="30"/>
          <w:lang w:eastAsia="zh-CN"/>
        </w:rPr>
        <w:t>股权股份、</w:t>
      </w:r>
      <w:r>
        <w:rPr>
          <w:rFonts w:hint="eastAsia" w:asciiTheme="minorEastAsia" w:hAnsiTheme="minorEastAsia" w:eastAsiaTheme="minorEastAsia" w:cstheme="minorEastAsia"/>
          <w:b w:val="0"/>
          <w:bCs w:val="0"/>
          <w:color w:val="auto"/>
          <w:sz w:val="30"/>
          <w:szCs w:val="30"/>
          <w:lang w:val="en-US" w:eastAsia="zh-CN"/>
        </w:rPr>
        <w:t>理清</w:t>
      </w:r>
      <w:r>
        <w:rPr>
          <w:rFonts w:hint="eastAsia" w:asciiTheme="minorEastAsia" w:hAnsiTheme="minorEastAsia" w:eastAsiaTheme="minorEastAsia" w:cstheme="minorEastAsia"/>
          <w:b w:val="0"/>
          <w:bCs w:val="0"/>
          <w:color w:val="auto"/>
          <w:sz w:val="30"/>
          <w:szCs w:val="30"/>
          <w:lang w:eastAsia="zh-CN"/>
        </w:rPr>
        <w:t>债权债务纠纷，</w:t>
      </w:r>
      <w:r>
        <w:rPr>
          <w:rFonts w:hint="eastAsia" w:asciiTheme="minorEastAsia" w:hAnsiTheme="minorEastAsia" w:eastAsiaTheme="minorEastAsia" w:cstheme="minorEastAsia"/>
          <w:b w:val="0"/>
          <w:bCs w:val="0"/>
          <w:color w:val="auto"/>
          <w:sz w:val="30"/>
          <w:szCs w:val="30"/>
          <w:lang w:val="en-US" w:eastAsia="zh-CN"/>
        </w:rPr>
        <w:t>成立市场资产清查小组，清产核资工作已进入实质性阶段。</w:t>
      </w:r>
    </w:p>
    <w:p>
      <w:pPr>
        <w:pStyle w:val="5"/>
        <w:ind w:left="0" w:leftChars="0" w:firstLine="602" w:firstLineChars="200"/>
        <w:rPr>
          <w:rFonts w:hint="eastAsia"/>
          <w:sz w:val="30"/>
          <w:szCs w:val="30"/>
          <w:lang w:val="en-US" w:eastAsia="zh-CN"/>
        </w:rPr>
      </w:pPr>
      <w:r>
        <w:rPr>
          <w:rFonts w:hint="eastAsia" w:asciiTheme="minorEastAsia" w:hAnsiTheme="minorEastAsia" w:eastAsiaTheme="minorEastAsia" w:cstheme="minorEastAsia"/>
          <w:b/>
          <w:sz w:val="30"/>
          <w:szCs w:val="30"/>
        </w:rPr>
        <w:t>6、服务对象满意度方面。</w:t>
      </w:r>
      <w:r>
        <w:rPr>
          <w:rFonts w:hint="eastAsia"/>
          <w:sz w:val="30"/>
          <w:szCs w:val="30"/>
          <w:lang w:eastAsia="zh-CN"/>
        </w:rPr>
        <w:t>东宜社区获评</w:t>
      </w:r>
      <w:r>
        <w:rPr>
          <w:rFonts w:hint="eastAsia"/>
          <w:sz w:val="30"/>
          <w:szCs w:val="30"/>
          <w:lang w:val="en-US" w:eastAsia="zh-CN"/>
        </w:rPr>
        <w:t>2022年度国家“基层科普行动计划”湖南省科普社区、获</w:t>
      </w:r>
      <w:r>
        <w:rPr>
          <w:rFonts w:hint="eastAsia"/>
          <w:sz w:val="30"/>
          <w:szCs w:val="30"/>
          <w:lang w:eastAsia="zh-CN"/>
        </w:rPr>
        <w:t>评</w:t>
      </w:r>
      <w:r>
        <w:rPr>
          <w:rFonts w:hint="eastAsia"/>
          <w:sz w:val="30"/>
          <w:szCs w:val="30"/>
          <w:lang w:val="en-US" w:eastAsia="zh-CN"/>
        </w:rPr>
        <w:t>市“五型示范社区”、“智慧养老 老亦所为”手机课堂课程入选国家级“智慧助老”优质课程资源库、获评市城市和谐社区、农村幸福社区建设示范创建评定名单、获评市2022年“五社联动 幸福邻里”重点社区（村）一等次、居民周开明获评全市最美“五老”志愿者。东瑞社区：获评2022年市计划生育基层群众自治先进社区、获评市2022年“劳动力调查示范点”、获评劳动力调查2022年度长沙调查队“优秀调查网点”称号、获评市先进民兵营、获评市退役军人五优服务站、获评2022年湖南省省级充分就业社区（村）和星级社区（村）、获评市2022年“五社联动 幸福邻里”重点社区（村）二等次；“红色物业”工作在红星网、新湖南、红网等媒体进行宣传推介 ，被长沙新闻频道采访报道、“清廉社区”建设工作在红网、新湖南进行宣传推介。黄泥塘社区：获评“全市老年教育基层教学点”、获评市级“五优”退役军人服务站、市计划生育基层群众自治先进社区、2022年湖南省省级充分就业社区（村）、居民杨贤志获评全市最美“五老”志愿者。望龙社区：获评市2022年“五社联动 幸福邻里”重点社区（村）二等次。</w:t>
      </w:r>
    </w:p>
    <w:p>
      <w:pPr>
        <w:pStyle w:val="5"/>
        <w:ind w:left="0" w:leftChars="0" w:firstLine="602" w:firstLineChars="200"/>
        <w:rPr>
          <w:rFonts w:hint="eastAsia"/>
          <w:b/>
          <w:bCs/>
          <w:sz w:val="30"/>
          <w:szCs w:val="30"/>
          <w:lang w:eastAsia="zh-CN"/>
        </w:rPr>
      </w:pPr>
      <w:r>
        <w:rPr>
          <w:rFonts w:hint="eastAsia"/>
          <w:b/>
          <w:bCs/>
          <w:sz w:val="30"/>
          <w:szCs w:val="30"/>
        </w:rPr>
        <w:t>六、存在的问题及原因分析</w:t>
      </w:r>
      <w:r>
        <w:rPr>
          <w:rFonts w:hint="eastAsia"/>
          <w:b/>
          <w:bCs/>
          <w:sz w:val="30"/>
          <w:szCs w:val="30"/>
          <w:lang w:eastAsia="zh-CN"/>
        </w:rPr>
        <w:t>。</w:t>
      </w:r>
    </w:p>
    <w:p>
      <w:pPr>
        <w:pStyle w:val="5"/>
        <w:ind w:left="0" w:leftChars="0" w:firstLine="600" w:firstLineChars="200"/>
        <w:rPr>
          <w:sz w:val="30"/>
          <w:szCs w:val="30"/>
        </w:rPr>
      </w:pPr>
      <w:r>
        <w:rPr>
          <w:rFonts w:hint="eastAsia"/>
          <w:sz w:val="30"/>
          <w:szCs w:val="30"/>
        </w:rPr>
        <w:t>绩效评价工作是一项科学的预算管理工作，对其严谨的科学性和工作方法，还处于初始的认识阶段，对关键环节的指标体系的理解基本上是机械的套用，工作尚处于填表报送的层面，思想上还不够重视，导致绩效评价工作容易滞后，另外绩效评价工作一般情况下都是由会计来做，但是单位会计对项目资金的具体使用情况缺少详细的了解，所做出来的绩效评价缺少数据的支撑，无法紧贴实际，评价质量有待进一步提升。</w:t>
      </w:r>
    </w:p>
    <w:p>
      <w:pPr>
        <w:pStyle w:val="5"/>
        <w:bidi w:val="0"/>
        <w:ind w:left="0" w:leftChars="0" w:firstLine="602" w:firstLineChars="200"/>
        <w:rPr>
          <w:b/>
          <w:bCs/>
          <w:sz w:val="30"/>
          <w:szCs w:val="30"/>
        </w:rPr>
      </w:pPr>
      <w:r>
        <w:rPr>
          <w:rFonts w:hint="eastAsia"/>
          <w:b/>
          <w:bCs/>
          <w:sz w:val="30"/>
          <w:szCs w:val="30"/>
        </w:rPr>
        <w:t>七、下一步改进措施</w:t>
      </w:r>
    </w:p>
    <w:p>
      <w:pPr>
        <w:pStyle w:val="5"/>
        <w:bidi w:val="0"/>
        <w:ind w:left="0" w:leftChars="0" w:firstLine="600" w:firstLineChars="200"/>
        <w:rPr>
          <w:sz w:val="30"/>
          <w:szCs w:val="30"/>
        </w:rPr>
      </w:pPr>
      <w:r>
        <w:rPr>
          <w:rFonts w:hint="eastAsia"/>
          <w:sz w:val="30"/>
          <w:szCs w:val="30"/>
        </w:rPr>
        <w:t>1、思想上高度重视，加强预算绩效的管理，根据单位实际情况，科学设置预算绩效目标，加强项目资金使用和监控，确保资金使用过程紧贴目标，切实发挥资金的最大效益。</w:t>
      </w:r>
    </w:p>
    <w:p>
      <w:pPr>
        <w:pStyle w:val="5"/>
        <w:bidi w:val="0"/>
        <w:ind w:left="0" w:leftChars="0" w:firstLine="600" w:firstLineChars="200"/>
        <w:rPr>
          <w:sz w:val="30"/>
          <w:szCs w:val="30"/>
        </w:rPr>
      </w:pPr>
      <w:r>
        <w:rPr>
          <w:rFonts w:hint="eastAsia"/>
          <w:sz w:val="30"/>
          <w:szCs w:val="30"/>
        </w:rPr>
        <w:t>2、进一步完善单位财务规章制度，加强财务知识学习，不断提高财务工作人员综合素质，从根本上保证财务工作的规范性。</w:t>
      </w:r>
    </w:p>
    <w:p>
      <w:pPr>
        <w:pStyle w:val="5"/>
        <w:bidi w:val="0"/>
        <w:ind w:left="0" w:leftChars="0" w:firstLine="602" w:firstLineChars="200"/>
        <w:rPr>
          <w:b/>
          <w:bCs/>
          <w:sz w:val="30"/>
          <w:szCs w:val="30"/>
        </w:rPr>
      </w:pPr>
      <w:r>
        <w:rPr>
          <w:rFonts w:hint="eastAsia"/>
          <w:b/>
          <w:bCs/>
          <w:sz w:val="30"/>
          <w:szCs w:val="30"/>
        </w:rPr>
        <w:t>八</w:t>
      </w:r>
      <w:r>
        <w:rPr>
          <w:b/>
          <w:bCs/>
          <w:sz w:val="30"/>
          <w:szCs w:val="30"/>
        </w:rPr>
        <w:t>、绩效自评结果拟应用和公开情况</w:t>
      </w:r>
    </w:p>
    <w:p>
      <w:pPr>
        <w:pStyle w:val="5"/>
        <w:bidi w:val="0"/>
        <w:ind w:left="0" w:leftChars="0" w:firstLine="600" w:firstLineChars="200"/>
        <w:rPr>
          <w:rFonts w:cs="仿宋_GB2312" w:asciiTheme="minorEastAsia" w:hAnsiTheme="minorEastAsia" w:eastAsiaTheme="minorEastAsia"/>
          <w:kern w:val="10"/>
          <w:szCs w:val="30"/>
        </w:rPr>
      </w:pPr>
      <w:r>
        <w:rPr>
          <w:rFonts w:hint="eastAsia"/>
          <w:sz w:val="30"/>
          <w:szCs w:val="30"/>
        </w:rPr>
        <w:t>我单位自开展绩效评价工作以来，严格按照上级财政要求，按规定的时限，统一在“芙蓉之窗”财政资金专栏进行了公开</w:t>
      </w:r>
      <w:r>
        <w:rPr>
          <w:rFonts w:hint="eastAsia" w:cs="仿宋_GB2312" w:asciiTheme="minorEastAsia" w:hAnsiTheme="minorEastAsia" w:eastAsiaTheme="minorEastAsia"/>
          <w:kern w:val="10"/>
          <w:szCs w:val="30"/>
        </w:rPr>
        <w:t>。</w:t>
      </w:r>
      <w:r>
        <w:rPr>
          <w:rFonts w:cs="仿宋_GB2312" w:asciiTheme="minorEastAsia" w:hAnsiTheme="minorEastAsia" w:eastAsiaTheme="minorEastAsia"/>
          <w:kern w:val="10"/>
          <w:szCs w:val="30"/>
        </w:rPr>
        <w:tab/>
      </w:r>
    </w:p>
    <w:p>
      <w:pPr>
        <w:pStyle w:val="5"/>
        <w:spacing w:line="240" w:lineRule="auto"/>
        <w:ind w:left="0" w:leftChars="0" w:firstLine="567" w:firstLineChars="189"/>
        <w:rPr>
          <w:rFonts w:asciiTheme="minorHAnsi" w:hAnsiTheme="minorHAnsi" w:eastAsiaTheme="minorEastAsia"/>
          <w:color w:val="000000"/>
          <w:kern w:val="10"/>
          <w:sz w:val="30"/>
          <w:szCs w:val="32"/>
        </w:rPr>
      </w:pPr>
    </w:p>
    <w:p>
      <w:pPr>
        <w:adjustRightInd w:val="0"/>
        <w:snapToGrid w:val="0"/>
        <w:ind w:firstLine="600" w:firstLineChars="200"/>
        <w:rPr>
          <w:rFonts w:hint="eastAsia" w:asciiTheme="minorHAnsi" w:hAnsiTheme="minorHAnsi" w:eastAsiaTheme="minorEastAsia"/>
          <w:kern w:val="10"/>
          <w:sz w:val="30"/>
          <w:szCs w:val="32"/>
        </w:rPr>
      </w:pPr>
      <w:r>
        <w:rPr>
          <w:rFonts w:asciiTheme="minorHAnsi" w:hAnsiTheme="minorHAnsi" w:eastAsiaTheme="minorEastAsia"/>
          <w:kern w:val="10"/>
          <w:sz w:val="30"/>
          <w:szCs w:val="32"/>
        </w:rPr>
        <w:t xml:space="preserve">                       </w:t>
      </w:r>
    </w:p>
    <w:p>
      <w:pPr>
        <w:adjustRightInd w:val="0"/>
        <w:snapToGrid w:val="0"/>
        <w:rPr>
          <w:rFonts w:hint="eastAsia" w:asciiTheme="minorHAnsi" w:hAnsiTheme="minorHAnsi" w:eastAsiaTheme="minorEastAsia"/>
          <w:kern w:val="10"/>
          <w:sz w:val="30"/>
          <w:szCs w:val="32"/>
        </w:rPr>
      </w:pPr>
    </w:p>
    <w:p>
      <w:pPr>
        <w:adjustRightInd w:val="0"/>
        <w:snapToGrid w:val="0"/>
        <w:ind w:firstLine="600" w:firstLineChars="200"/>
        <w:rPr>
          <w:rFonts w:asciiTheme="minorHAnsi" w:hAnsiTheme="minorHAnsi" w:eastAsiaTheme="minorEastAsia"/>
          <w:kern w:val="10"/>
          <w:sz w:val="30"/>
          <w:szCs w:val="32"/>
        </w:rPr>
      </w:pPr>
      <w:r>
        <w:rPr>
          <w:rFonts w:asciiTheme="minorHAnsi" w:hAnsiTheme="minorHAnsi" w:eastAsiaTheme="minorEastAsia"/>
          <w:kern w:val="10"/>
          <w:sz w:val="30"/>
          <w:szCs w:val="32"/>
        </w:rPr>
        <w:t xml:space="preserve">      </w:t>
      </w:r>
    </w:p>
    <w:p>
      <w:pPr>
        <w:adjustRightInd w:val="0"/>
        <w:snapToGrid w:val="0"/>
        <w:ind w:firstLine="600" w:firstLineChars="200"/>
        <w:jc w:val="center"/>
        <w:rPr>
          <w:rFonts w:asciiTheme="minorHAnsi" w:hAnsiTheme="minorEastAsia" w:eastAsiaTheme="minorEastAsia"/>
          <w:kern w:val="10"/>
          <w:sz w:val="30"/>
          <w:szCs w:val="32"/>
        </w:rPr>
      </w:pPr>
      <w:r>
        <w:rPr>
          <w:rFonts w:asciiTheme="minorHAnsi" w:hAnsiTheme="minorHAnsi" w:eastAsiaTheme="minorEastAsia"/>
          <w:kern w:val="10"/>
          <w:sz w:val="30"/>
          <w:szCs w:val="32"/>
        </w:rPr>
        <w:t xml:space="preserve">           </w:t>
      </w:r>
      <w:r>
        <w:rPr>
          <w:rFonts w:hint="eastAsia" w:asciiTheme="minorHAnsi" w:hAnsiTheme="minorHAnsi" w:eastAsiaTheme="minorEastAsia"/>
          <w:kern w:val="10"/>
          <w:sz w:val="30"/>
          <w:szCs w:val="32"/>
        </w:rPr>
        <w:t xml:space="preserve">           </w:t>
      </w:r>
      <w:r>
        <w:rPr>
          <w:rFonts w:asciiTheme="minorHAnsi" w:hAnsiTheme="minorEastAsia" w:eastAsiaTheme="minorEastAsia"/>
          <w:kern w:val="10"/>
          <w:sz w:val="30"/>
          <w:szCs w:val="32"/>
        </w:rPr>
        <w:t>填报单位：</w:t>
      </w:r>
      <w:r>
        <w:rPr>
          <w:rFonts w:hint="eastAsia" w:asciiTheme="minorHAnsi" w:hAnsiTheme="minorEastAsia" w:eastAsiaTheme="minorEastAsia"/>
          <w:kern w:val="10"/>
          <w:sz w:val="30"/>
          <w:szCs w:val="32"/>
        </w:rPr>
        <w:t>东岸街道办事处</w:t>
      </w:r>
    </w:p>
    <w:p>
      <w:pPr>
        <w:pStyle w:val="5"/>
      </w:pPr>
    </w:p>
    <w:p>
      <w:pPr>
        <w:adjustRightInd w:val="0"/>
        <w:snapToGrid w:val="0"/>
        <w:ind w:firstLine="600" w:firstLineChars="200"/>
        <w:rPr>
          <w:rFonts w:hint="eastAsia" w:asciiTheme="minorHAnsi" w:hAnsiTheme="minorEastAsia" w:eastAsiaTheme="minorEastAsia"/>
          <w:kern w:val="10"/>
          <w:sz w:val="30"/>
          <w:szCs w:val="32"/>
        </w:rPr>
      </w:pPr>
      <w:r>
        <w:rPr>
          <w:rFonts w:asciiTheme="minorHAnsi" w:hAnsiTheme="minorHAnsi" w:eastAsiaTheme="minorEastAsia"/>
          <w:kern w:val="10"/>
          <w:sz w:val="30"/>
          <w:szCs w:val="32"/>
        </w:rPr>
        <w:t xml:space="preserve">                       </w:t>
      </w:r>
      <w:r>
        <w:rPr>
          <w:rFonts w:hint="eastAsia" w:asciiTheme="minorHAnsi" w:hAnsiTheme="minorHAnsi" w:eastAsiaTheme="minorEastAsia"/>
          <w:kern w:val="10"/>
          <w:sz w:val="30"/>
          <w:szCs w:val="32"/>
        </w:rPr>
        <w:t xml:space="preserve"> </w:t>
      </w:r>
      <w:r>
        <w:rPr>
          <w:rFonts w:asciiTheme="minorHAnsi" w:hAnsiTheme="minorEastAsia" w:eastAsiaTheme="minorEastAsia"/>
          <w:kern w:val="10"/>
          <w:sz w:val="30"/>
          <w:szCs w:val="32"/>
        </w:rPr>
        <w:t>日</w:t>
      </w:r>
      <w:r>
        <w:rPr>
          <w:rFonts w:asciiTheme="minorHAnsi" w:hAnsiTheme="minorHAnsi" w:eastAsiaTheme="minorEastAsia"/>
          <w:kern w:val="10"/>
          <w:sz w:val="30"/>
          <w:szCs w:val="32"/>
        </w:rPr>
        <w:t xml:space="preserve">   </w:t>
      </w:r>
      <w:r>
        <w:rPr>
          <w:rFonts w:hint="eastAsia" w:asciiTheme="minorHAnsi" w:hAnsiTheme="minorHAnsi" w:eastAsiaTheme="minorEastAsia"/>
          <w:kern w:val="10"/>
          <w:sz w:val="30"/>
          <w:szCs w:val="32"/>
        </w:rPr>
        <w:t xml:space="preserve"> </w:t>
      </w:r>
      <w:r>
        <w:rPr>
          <w:rFonts w:asciiTheme="minorHAnsi" w:hAnsiTheme="minorEastAsia" w:eastAsiaTheme="minorEastAsia"/>
          <w:kern w:val="10"/>
          <w:sz w:val="30"/>
          <w:szCs w:val="32"/>
        </w:rPr>
        <w:t>期</w:t>
      </w:r>
      <w:r>
        <w:rPr>
          <w:rFonts w:hint="eastAsia" w:asciiTheme="minorHAnsi" w:hAnsiTheme="minorEastAsia" w:eastAsiaTheme="minorEastAsia"/>
          <w:kern w:val="10"/>
          <w:sz w:val="30"/>
          <w:szCs w:val="32"/>
        </w:rPr>
        <w:t>：202</w:t>
      </w:r>
      <w:r>
        <w:rPr>
          <w:rFonts w:hint="eastAsia" w:asciiTheme="minorHAnsi" w:hAnsiTheme="minorEastAsia" w:eastAsiaTheme="minorEastAsia"/>
          <w:kern w:val="10"/>
          <w:sz w:val="30"/>
          <w:szCs w:val="32"/>
          <w:lang w:val="en-US" w:eastAsia="zh-CN"/>
        </w:rPr>
        <w:t>3</w:t>
      </w:r>
      <w:r>
        <w:rPr>
          <w:rFonts w:hint="eastAsia" w:asciiTheme="minorHAnsi" w:hAnsiTheme="minorEastAsia" w:eastAsiaTheme="minorEastAsia"/>
          <w:kern w:val="10"/>
          <w:sz w:val="30"/>
          <w:szCs w:val="32"/>
        </w:rPr>
        <w:t>年</w:t>
      </w:r>
      <w:r>
        <w:rPr>
          <w:rFonts w:hint="eastAsia" w:asciiTheme="minorHAnsi" w:hAnsiTheme="minorEastAsia" w:eastAsiaTheme="minorEastAsia"/>
          <w:kern w:val="10"/>
          <w:sz w:val="30"/>
          <w:szCs w:val="32"/>
          <w:lang w:val="en-US" w:eastAsia="zh-CN"/>
        </w:rPr>
        <w:t>6</w:t>
      </w:r>
      <w:r>
        <w:rPr>
          <w:rFonts w:hint="eastAsia" w:asciiTheme="minorHAnsi" w:hAnsiTheme="minorEastAsia" w:eastAsiaTheme="minorEastAsia"/>
          <w:kern w:val="10"/>
          <w:sz w:val="30"/>
          <w:szCs w:val="32"/>
        </w:rPr>
        <w:t>月25日</w:t>
      </w:r>
    </w:p>
    <w:p>
      <w:pPr>
        <w:pStyle w:val="5"/>
        <w:rPr>
          <w:rFonts w:hint="eastAsia" w:asciiTheme="minorHAnsi" w:hAnsiTheme="minorEastAsia" w:eastAsiaTheme="minorEastAsia"/>
          <w:kern w:val="10"/>
          <w:sz w:val="30"/>
          <w:szCs w:val="32"/>
        </w:rPr>
      </w:pPr>
    </w:p>
    <w:p>
      <w:pPr>
        <w:pStyle w:val="5"/>
        <w:rPr>
          <w:rFonts w:hint="eastAsia" w:asciiTheme="minorHAnsi" w:hAnsiTheme="minorEastAsia" w:eastAsiaTheme="minorEastAsia"/>
          <w:kern w:val="10"/>
          <w:sz w:val="30"/>
          <w:szCs w:val="32"/>
        </w:rPr>
      </w:pPr>
    </w:p>
    <w:p>
      <w:pPr>
        <w:pStyle w:val="5"/>
        <w:rPr>
          <w:rFonts w:hint="eastAsia" w:asciiTheme="minorHAnsi" w:hAnsiTheme="minorEastAsia" w:eastAsiaTheme="minorEastAsia"/>
          <w:kern w:val="10"/>
          <w:sz w:val="30"/>
          <w:szCs w:val="32"/>
        </w:rPr>
      </w:pPr>
    </w:p>
    <w:p>
      <w:pPr>
        <w:pStyle w:val="5"/>
        <w:rPr>
          <w:rFonts w:hint="eastAsia" w:asciiTheme="minorHAnsi" w:hAnsiTheme="minorEastAsia" w:eastAsiaTheme="minorEastAsia"/>
          <w:kern w:val="10"/>
          <w:sz w:val="30"/>
          <w:szCs w:val="32"/>
        </w:rPr>
      </w:pPr>
    </w:p>
    <w:p>
      <w:pPr>
        <w:pStyle w:val="5"/>
        <w:rPr>
          <w:rFonts w:hint="eastAsia" w:asciiTheme="minorHAnsi" w:hAnsiTheme="minorEastAsia" w:eastAsiaTheme="minorEastAsia"/>
          <w:kern w:val="10"/>
          <w:sz w:val="30"/>
          <w:szCs w:val="32"/>
        </w:rPr>
      </w:pPr>
    </w:p>
    <w:p>
      <w:pPr>
        <w:pStyle w:val="5"/>
        <w:rPr>
          <w:rFonts w:hint="eastAsia" w:asciiTheme="minorHAnsi" w:hAnsiTheme="minorEastAsia" w:eastAsiaTheme="minorEastAsia"/>
          <w:kern w:val="10"/>
          <w:sz w:val="30"/>
          <w:szCs w:val="32"/>
        </w:rPr>
      </w:pPr>
    </w:p>
    <w:p>
      <w:pPr>
        <w:widowControl/>
        <w:spacing w:line="600" w:lineRule="exact"/>
        <w:rPr>
          <w:rFonts w:hint="default" w:ascii="Times New Roman" w:hAnsi="Times New Roman" w:eastAsia="黑体" w:cs="Times New Roman"/>
          <w:kern w:val="0"/>
          <w:sz w:val="32"/>
          <w:szCs w:val="32"/>
        </w:rPr>
      </w:pPr>
    </w:p>
    <w:p>
      <w:pPr>
        <w:widowControl/>
        <w:spacing w:line="600" w:lineRule="exact"/>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lang w:val="en-US" w:eastAsia="zh-CN"/>
        </w:rPr>
        <w:t>5</w:t>
      </w:r>
    </w:p>
    <w:p>
      <w:pPr>
        <w:keepNext w:val="0"/>
        <w:keepLines w:val="0"/>
        <w:pageBreakBefore w:val="0"/>
        <w:widowControl/>
        <w:kinsoku/>
        <w:wordWrap/>
        <w:overflowPunct/>
        <w:topLinePunct w:val="0"/>
        <w:autoSpaceDE/>
        <w:autoSpaceDN/>
        <w:bidi w:val="0"/>
        <w:adjustRightInd/>
        <w:snapToGrid/>
        <w:spacing w:before="157" w:beforeLines="50" w:line="600" w:lineRule="exact"/>
        <w:ind w:left="0"/>
        <w:jc w:val="center"/>
        <w:textAlignment w:val="auto"/>
        <w:rPr>
          <w:rFonts w:hint="default" w:ascii="Times New Roman" w:hAnsi="Times New Roman" w:eastAsia="方正小标宋简体" w:cs="Times New Roman"/>
          <w:kern w:val="0"/>
          <w:sz w:val="44"/>
          <w:szCs w:val="44"/>
          <w:lang w:eastAsia="zh-CN"/>
        </w:rPr>
      </w:pPr>
      <w:r>
        <w:rPr>
          <w:rFonts w:hint="default" w:ascii="Times New Roman" w:hAnsi="Times New Roman" w:eastAsia="方正小标宋简体" w:cs="Times New Roman"/>
          <w:kern w:val="0"/>
          <w:sz w:val="44"/>
          <w:szCs w:val="44"/>
          <w:lang w:val="en-US" w:eastAsia="zh-CN"/>
        </w:rPr>
        <w:t>2022</w:t>
      </w:r>
      <w:r>
        <w:rPr>
          <w:rFonts w:hint="default" w:ascii="Times New Roman" w:hAnsi="Times New Roman" w:eastAsia="方正小标宋简体" w:cs="Times New Roman"/>
          <w:kern w:val="0"/>
          <w:sz w:val="44"/>
          <w:szCs w:val="44"/>
        </w:rPr>
        <w:t>年度部门整体支出绩效自评</w:t>
      </w:r>
      <w:r>
        <w:rPr>
          <w:rFonts w:hint="default" w:ascii="Times New Roman" w:hAnsi="Times New Roman" w:eastAsia="方正小标宋简体" w:cs="Times New Roman"/>
          <w:kern w:val="0"/>
          <w:sz w:val="44"/>
          <w:szCs w:val="44"/>
          <w:lang w:eastAsia="zh-CN"/>
        </w:rPr>
        <w:t>工作</w:t>
      </w:r>
    </w:p>
    <w:p>
      <w:pPr>
        <w:keepNext w:val="0"/>
        <w:keepLines w:val="0"/>
        <w:pageBreakBefore w:val="0"/>
        <w:widowControl/>
        <w:kinsoku/>
        <w:wordWrap/>
        <w:overflowPunct/>
        <w:topLinePunct w:val="0"/>
        <w:autoSpaceDE/>
        <w:autoSpaceDN/>
        <w:bidi w:val="0"/>
        <w:adjustRightInd/>
        <w:snapToGrid/>
        <w:spacing w:after="157" w:afterLines="50" w:line="600" w:lineRule="exact"/>
        <w:ind w:left="0"/>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lang w:eastAsia="zh-CN"/>
        </w:rPr>
        <w:t>评审</w:t>
      </w:r>
      <w:r>
        <w:rPr>
          <w:rFonts w:hint="default" w:ascii="Times New Roman" w:hAnsi="Times New Roman" w:eastAsia="方正小标宋简体" w:cs="Times New Roman"/>
          <w:kern w:val="0"/>
          <w:sz w:val="44"/>
          <w:szCs w:val="44"/>
        </w:rPr>
        <w:t>表</w:t>
      </w:r>
    </w:p>
    <w:tbl>
      <w:tblPr>
        <w:tblStyle w:val="9"/>
        <w:tblW w:w="9071" w:type="dxa"/>
        <w:jc w:val="center"/>
        <w:tblLayout w:type="fixed"/>
        <w:tblCellMar>
          <w:top w:w="0" w:type="dxa"/>
          <w:left w:w="108" w:type="dxa"/>
          <w:bottom w:w="0" w:type="dxa"/>
          <w:right w:w="108" w:type="dxa"/>
        </w:tblCellMar>
      </w:tblPr>
      <w:tblGrid>
        <w:gridCol w:w="1089"/>
        <w:gridCol w:w="1460"/>
        <w:gridCol w:w="731"/>
        <w:gridCol w:w="4732"/>
        <w:gridCol w:w="1059"/>
      </w:tblGrid>
      <w:tr>
        <w:tblPrEx>
          <w:tblCellMar>
            <w:top w:w="0" w:type="dxa"/>
            <w:left w:w="108" w:type="dxa"/>
            <w:bottom w:w="0" w:type="dxa"/>
            <w:right w:w="108" w:type="dxa"/>
          </w:tblCellMar>
        </w:tblPrEx>
        <w:trPr>
          <w:trHeight w:val="630" w:hRule="atLeast"/>
          <w:tblHeader/>
          <w:jc w:val="center"/>
        </w:trPr>
        <w:tc>
          <w:tcPr>
            <w:tcW w:w="1089"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exact"/>
              <w:jc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rPr>
              <w:t>一级标准</w:t>
            </w:r>
          </w:p>
        </w:tc>
        <w:tc>
          <w:tcPr>
            <w:tcW w:w="1460" w:type="dxa"/>
            <w:tcBorders>
              <w:top w:val="single" w:color="auto" w:sz="4" w:space="0"/>
              <w:left w:val="nil"/>
              <w:bottom w:val="single" w:color="auto" w:sz="4" w:space="0"/>
              <w:right w:val="single" w:color="auto" w:sz="4" w:space="0"/>
            </w:tcBorders>
            <w:noWrap w:val="0"/>
            <w:vAlign w:val="center"/>
          </w:tcPr>
          <w:p>
            <w:pPr>
              <w:spacing w:after="0" w:line="240" w:lineRule="exact"/>
              <w:jc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rPr>
              <w:t>二级标准</w:t>
            </w:r>
          </w:p>
        </w:tc>
        <w:tc>
          <w:tcPr>
            <w:tcW w:w="731" w:type="dxa"/>
            <w:tcBorders>
              <w:top w:val="single" w:color="auto" w:sz="4" w:space="0"/>
              <w:left w:val="nil"/>
              <w:bottom w:val="single" w:color="auto" w:sz="4" w:space="0"/>
              <w:right w:val="single" w:color="auto" w:sz="4" w:space="0"/>
            </w:tcBorders>
            <w:noWrap w:val="0"/>
            <w:vAlign w:val="center"/>
          </w:tcPr>
          <w:p>
            <w:pPr>
              <w:spacing w:after="0" w:line="240" w:lineRule="exact"/>
              <w:jc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rPr>
              <w:t>分值</w:t>
            </w:r>
          </w:p>
        </w:tc>
        <w:tc>
          <w:tcPr>
            <w:tcW w:w="4732" w:type="dxa"/>
            <w:tcBorders>
              <w:top w:val="single" w:color="auto" w:sz="4" w:space="0"/>
              <w:left w:val="nil"/>
              <w:bottom w:val="single" w:color="auto" w:sz="4" w:space="0"/>
              <w:right w:val="single" w:color="auto" w:sz="4" w:space="0"/>
            </w:tcBorders>
            <w:noWrap w:val="0"/>
            <w:vAlign w:val="center"/>
          </w:tcPr>
          <w:p>
            <w:pPr>
              <w:spacing w:after="0" w:line="240" w:lineRule="exact"/>
              <w:jc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rPr>
              <w:t>计分标准</w:t>
            </w:r>
          </w:p>
        </w:tc>
        <w:tc>
          <w:tcPr>
            <w:tcW w:w="1059" w:type="dxa"/>
            <w:tcBorders>
              <w:top w:val="single" w:color="auto" w:sz="4" w:space="0"/>
              <w:left w:val="nil"/>
              <w:bottom w:val="single" w:color="auto" w:sz="4" w:space="0"/>
              <w:right w:val="single" w:color="auto" w:sz="4" w:space="0"/>
            </w:tcBorders>
            <w:noWrap w:val="0"/>
            <w:vAlign w:val="center"/>
          </w:tcPr>
          <w:p>
            <w:pPr>
              <w:spacing w:after="0" w:line="240" w:lineRule="exact"/>
              <w:jc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rPr>
              <w:t>评分</w:t>
            </w:r>
          </w:p>
        </w:tc>
      </w:tr>
      <w:tr>
        <w:tblPrEx>
          <w:tblCellMar>
            <w:top w:w="0" w:type="dxa"/>
            <w:left w:w="108" w:type="dxa"/>
            <w:bottom w:w="0" w:type="dxa"/>
            <w:right w:w="108" w:type="dxa"/>
          </w:tblCellMar>
        </w:tblPrEx>
        <w:trPr>
          <w:trHeight w:val="862" w:hRule="atLeast"/>
          <w:jc w:val="center"/>
        </w:trPr>
        <w:tc>
          <w:tcPr>
            <w:tcW w:w="1089" w:type="dxa"/>
            <w:tcBorders>
              <w:top w:val="nil"/>
              <w:left w:val="single" w:color="auto" w:sz="4" w:space="0"/>
              <w:bottom w:val="single" w:color="auto" w:sz="4" w:space="0"/>
              <w:right w:val="single" w:color="auto" w:sz="4" w:space="0"/>
            </w:tcBorders>
            <w:noWrap w:val="0"/>
            <w:vAlign w:val="center"/>
          </w:tcPr>
          <w:p>
            <w:pPr>
              <w:spacing w:after="0" w:line="240" w:lineRule="exact"/>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自评完成及时性</w:t>
            </w:r>
          </w:p>
        </w:tc>
        <w:tc>
          <w:tcPr>
            <w:tcW w:w="1460" w:type="dxa"/>
            <w:tcBorders>
              <w:top w:val="nil"/>
              <w:left w:val="nil"/>
              <w:bottom w:val="single" w:color="auto" w:sz="4" w:space="0"/>
              <w:right w:val="single" w:color="auto" w:sz="4" w:space="0"/>
            </w:tcBorders>
            <w:noWrap w:val="0"/>
            <w:vAlign w:val="center"/>
          </w:tcPr>
          <w:p>
            <w:pPr>
              <w:spacing w:after="0" w:line="240" w:lineRule="exac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是否按时完成绩效</w:t>
            </w:r>
            <w:r>
              <w:rPr>
                <w:rFonts w:hint="default" w:ascii="Times New Roman" w:hAnsi="Times New Roman" w:eastAsia="宋体" w:cs="Times New Roman"/>
                <w:sz w:val="20"/>
                <w:szCs w:val="20"/>
                <w:lang w:val="en-US" w:eastAsia="zh-CN"/>
              </w:rPr>
              <w:t>自评</w:t>
            </w:r>
            <w:r>
              <w:rPr>
                <w:rFonts w:hint="default" w:ascii="Times New Roman" w:hAnsi="Times New Roman" w:eastAsia="宋体" w:cs="Times New Roman"/>
                <w:sz w:val="20"/>
                <w:szCs w:val="20"/>
              </w:rPr>
              <w:t>工作</w:t>
            </w:r>
          </w:p>
        </w:tc>
        <w:tc>
          <w:tcPr>
            <w:tcW w:w="731" w:type="dxa"/>
            <w:tcBorders>
              <w:top w:val="nil"/>
              <w:left w:val="nil"/>
              <w:bottom w:val="single" w:color="auto" w:sz="4" w:space="0"/>
              <w:right w:val="single" w:color="auto" w:sz="4" w:space="0"/>
            </w:tcBorders>
            <w:noWrap w:val="0"/>
            <w:vAlign w:val="center"/>
          </w:tcPr>
          <w:p>
            <w:pPr>
              <w:spacing w:after="0" w:line="240" w:lineRule="exact"/>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10</w:t>
            </w:r>
          </w:p>
        </w:tc>
        <w:tc>
          <w:tcPr>
            <w:tcW w:w="4732" w:type="dxa"/>
            <w:tcBorders>
              <w:top w:val="nil"/>
              <w:left w:val="nil"/>
              <w:bottom w:val="single" w:color="auto" w:sz="4" w:space="0"/>
              <w:right w:val="single" w:color="auto" w:sz="4" w:space="0"/>
            </w:tcBorders>
            <w:noWrap w:val="0"/>
            <w:vAlign w:val="center"/>
          </w:tcPr>
          <w:p>
            <w:pPr>
              <w:spacing w:after="0" w:line="240" w:lineRule="exact"/>
              <w:rPr>
                <w:rFonts w:hint="default" w:ascii="Times New Roman" w:hAnsi="Times New Roman" w:eastAsia="宋体" w:cs="Times New Roman"/>
                <w:b w:val="0"/>
                <w:bCs/>
                <w:sz w:val="20"/>
                <w:szCs w:val="20"/>
                <w:lang w:eastAsia="zh-CN"/>
              </w:rPr>
            </w:pPr>
            <w:r>
              <w:rPr>
                <w:rFonts w:hint="default" w:ascii="Times New Roman" w:hAnsi="Times New Roman" w:eastAsia="宋体" w:cs="Times New Roman"/>
                <w:sz w:val="20"/>
                <w:szCs w:val="20"/>
                <w:lang w:eastAsia="zh-CN"/>
              </w:rPr>
              <w:t>及时完成绩效自评工作并</w:t>
            </w:r>
            <w:r>
              <w:rPr>
                <w:rFonts w:hint="default" w:ascii="Times New Roman" w:hAnsi="Times New Roman" w:eastAsia="宋体" w:cs="Times New Roman"/>
                <w:sz w:val="20"/>
                <w:szCs w:val="20"/>
              </w:rPr>
              <w:t>按时向</w:t>
            </w:r>
            <w:r>
              <w:rPr>
                <w:rFonts w:hint="default" w:ascii="Times New Roman" w:hAnsi="Times New Roman" w:cs="Times New Roman"/>
                <w:sz w:val="20"/>
                <w:szCs w:val="20"/>
                <w:lang w:eastAsia="zh-CN"/>
              </w:rPr>
              <w:t>区</w:t>
            </w:r>
            <w:r>
              <w:rPr>
                <w:rFonts w:hint="default" w:ascii="Times New Roman" w:hAnsi="Times New Roman" w:eastAsia="宋体" w:cs="Times New Roman"/>
                <w:sz w:val="20"/>
                <w:szCs w:val="20"/>
              </w:rPr>
              <w:t>财政</w:t>
            </w:r>
            <w:r>
              <w:rPr>
                <w:rFonts w:hint="default" w:ascii="Times New Roman" w:hAnsi="Times New Roman" w:eastAsia="宋体" w:cs="Times New Roman"/>
                <w:sz w:val="20"/>
                <w:szCs w:val="20"/>
                <w:lang w:eastAsia="zh-CN"/>
              </w:rPr>
              <w:t>局</w:t>
            </w:r>
            <w:r>
              <w:rPr>
                <w:rFonts w:hint="default" w:ascii="Times New Roman" w:hAnsi="Times New Roman" w:eastAsia="宋体" w:cs="Times New Roman"/>
                <w:sz w:val="20"/>
                <w:szCs w:val="20"/>
              </w:rPr>
              <w:t>报送</w:t>
            </w:r>
            <w:r>
              <w:rPr>
                <w:rFonts w:hint="default" w:ascii="Times New Roman" w:hAnsi="Times New Roman" w:eastAsia="宋体" w:cs="Times New Roman"/>
                <w:sz w:val="20"/>
                <w:szCs w:val="20"/>
                <w:lang w:eastAsia="zh-CN"/>
              </w:rPr>
              <w:t>结果</w:t>
            </w:r>
            <w:r>
              <w:rPr>
                <w:rFonts w:hint="default" w:ascii="Times New Roman" w:hAnsi="Times New Roman" w:eastAsia="宋体" w:cs="Times New Roman"/>
                <w:sz w:val="20"/>
                <w:szCs w:val="20"/>
              </w:rPr>
              <w:t>的得10分；每推迟一天报送</w:t>
            </w:r>
            <w:r>
              <w:rPr>
                <w:rFonts w:hint="default" w:ascii="Times New Roman" w:hAnsi="Times New Roman" w:eastAsia="宋体" w:cs="Times New Roman"/>
                <w:sz w:val="20"/>
                <w:szCs w:val="20"/>
                <w:lang w:eastAsia="zh-CN"/>
              </w:rPr>
              <w:t>结果</w:t>
            </w:r>
            <w:r>
              <w:rPr>
                <w:rFonts w:hint="default" w:ascii="Times New Roman" w:hAnsi="Times New Roman" w:eastAsia="宋体" w:cs="Times New Roman"/>
                <w:sz w:val="20"/>
                <w:szCs w:val="20"/>
              </w:rPr>
              <w:t>的扣1分，最多扣10分</w:t>
            </w:r>
            <w:r>
              <w:rPr>
                <w:rFonts w:hint="default" w:ascii="Times New Roman" w:hAnsi="Times New Roman" w:eastAsia="宋体" w:cs="Times New Roman"/>
                <w:sz w:val="20"/>
                <w:szCs w:val="20"/>
                <w:lang w:eastAsia="zh-CN"/>
              </w:rPr>
              <w:t>。</w:t>
            </w:r>
          </w:p>
        </w:tc>
        <w:tc>
          <w:tcPr>
            <w:tcW w:w="1059" w:type="dxa"/>
            <w:tcBorders>
              <w:top w:val="nil"/>
              <w:left w:val="nil"/>
              <w:bottom w:val="single" w:color="auto" w:sz="4" w:space="0"/>
              <w:right w:val="single" w:color="auto" w:sz="4" w:space="0"/>
            </w:tcBorders>
            <w:noWrap w:val="0"/>
            <w:vAlign w:val="center"/>
          </w:tcPr>
          <w:p>
            <w:pPr>
              <w:spacing w:after="0" w:line="240" w:lineRule="exact"/>
              <w:jc w:val="center"/>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10</w:t>
            </w:r>
          </w:p>
        </w:tc>
      </w:tr>
      <w:tr>
        <w:tblPrEx>
          <w:tblCellMar>
            <w:top w:w="0" w:type="dxa"/>
            <w:left w:w="108" w:type="dxa"/>
            <w:bottom w:w="0" w:type="dxa"/>
            <w:right w:w="108" w:type="dxa"/>
          </w:tblCellMar>
        </w:tblPrEx>
        <w:trPr>
          <w:trHeight w:val="657" w:hRule="atLeast"/>
          <w:jc w:val="center"/>
        </w:trPr>
        <w:tc>
          <w:tcPr>
            <w:tcW w:w="1089"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exact"/>
              <w:jc w:val="center"/>
              <w:rPr>
                <w:rFonts w:hint="default"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eastAsia="zh-CN"/>
              </w:rPr>
              <w:t>自评组织情况</w:t>
            </w:r>
          </w:p>
        </w:tc>
        <w:tc>
          <w:tcPr>
            <w:tcW w:w="1460"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exact"/>
              <w:rPr>
                <w:rFonts w:hint="default"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eastAsia="zh-CN"/>
              </w:rPr>
              <w:t>组织绩效自评</w:t>
            </w: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exact"/>
              <w:jc w:val="center"/>
              <w:rPr>
                <w:rFonts w:hint="default"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eastAsia="zh-CN"/>
              </w:rPr>
              <w:t>10</w:t>
            </w:r>
          </w:p>
        </w:tc>
        <w:tc>
          <w:tcPr>
            <w:tcW w:w="4732" w:type="dxa"/>
            <w:tcBorders>
              <w:top w:val="nil"/>
              <w:left w:val="nil"/>
              <w:bottom w:val="single" w:color="auto" w:sz="4" w:space="0"/>
              <w:right w:val="single" w:color="auto" w:sz="4" w:space="0"/>
            </w:tcBorders>
            <w:noWrap w:val="0"/>
            <w:vAlign w:val="center"/>
          </w:tcPr>
          <w:p>
            <w:pPr>
              <w:spacing w:after="0" w:line="240" w:lineRule="exact"/>
              <w:rPr>
                <w:rFonts w:hint="default" w:ascii="Times New Roman" w:hAnsi="Times New Roman" w:eastAsia="宋体" w:cs="Times New Roman"/>
                <w:b w:val="0"/>
                <w:bCs/>
                <w:sz w:val="20"/>
                <w:szCs w:val="20"/>
                <w:lang w:val="en-US" w:eastAsia="zh-CN"/>
              </w:rPr>
            </w:pPr>
            <w:r>
              <w:rPr>
                <w:rFonts w:hint="default" w:ascii="Times New Roman" w:hAnsi="Times New Roman" w:cs="Times New Roman"/>
                <w:b w:val="0"/>
                <w:bCs/>
                <w:sz w:val="20"/>
                <w:szCs w:val="20"/>
                <w:highlight w:val="none"/>
                <w:lang w:val="en-US" w:eastAsia="zh-CN"/>
              </w:rPr>
              <w:t>认真组织绩效自评</w:t>
            </w:r>
            <w:r>
              <w:rPr>
                <w:rFonts w:hint="default" w:ascii="Times New Roman" w:hAnsi="Times New Roman" w:eastAsia="宋体" w:cs="Times New Roman"/>
                <w:b w:val="0"/>
                <w:bCs/>
                <w:sz w:val="20"/>
                <w:szCs w:val="20"/>
                <w:highlight w:val="none"/>
                <w:lang w:val="en-US" w:eastAsia="zh-CN"/>
              </w:rPr>
              <w:t>工作，得</w:t>
            </w:r>
            <w:r>
              <w:rPr>
                <w:rFonts w:hint="default" w:ascii="Times New Roman" w:hAnsi="Times New Roman" w:cs="Times New Roman"/>
                <w:b w:val="0"/>
                <w:bCs/>
                <w:sz w:val="20"/>
                <w:szCs w:val="20"/>
                <w:highlight w:val="none"/>
                <w:lang w:val="en-US" w:eastAsia="zh-CN"/>
              </w:rPr>
              <w:t>10</w:t>
            </w:r>
            <w:r>
              <w:rPr>
                <w:rFonts w:hint="default" w:ascii="Times New Roman" w:hAnsi="Times New Roman" w:eastAsia="宋体" w:cs="Times New Roman"/>
                <w:b w:val="0"/>
                <w:bCs/>
                <w:sz w:val="20"/>
                <w:szCs w:val="20"/>
                <w:highlight w:val="none"/>
                <w:lang w:val="en-US" w:eastAsia="zh-CN"/>
              </w:rPr>
              <w:t>分，否则不得分。</w:t>
            </w:r>
          </w:p>
        </w:tc>
        <w:tc>
          <w:tcPr>
            <w:tcW w:w="1059" w:type="dxa"/>
            <w:tcBorders>
              <w:top w:val="nil"/>
              <w:left w:val="nil"/>
              <w:bottom w:val="single" w:color="auto" w:sz="4" w:space="0"/>
              <w:right w:val="single" w:color="auto" w:sz="4" w:space="0"/>
            </w:tcBorders>
            <w:noWrap w:val="0"/>
            <w:vAlign w:val="center"/>
          </w:tcPr>
          <w:p>
            <w:pPr>
              <w:spacing w:after="0" w:line="240" w:lineRule="exact"/>
              <w:jc w:val="center"/>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10</w:t>
            </w:r>
          </w:p>
        </w:tc>
      </w:tr>
      <w:tr>
        <w:tblPrEx>
          <w:tblCellMar>
            <w:top w:w="0" w:type="dxa"/>
            <w:left w:w="108" w:type="dxa"/>
            <w:bottom w:w="0" w:type="dxa"/>
            <w:right w:w="108" w:type="dxa"/>
          </w:tblCellMar>
        </w:tblPrEx>
        <w:trPr>
          <w:trHeight w:val="1875" w:hRule="atLeast"/>
          <w:jc w:val="center"/>
        </w:trPr>
        <w:tc>
          <w:tcPr>
            <w:tcW w:w="1089" w:type="dxa"/>
            <w:vMerge w:val="restart"/>
            <w:tcBorders>
              <w:top w:val="single" w:color="auto" w:sz="4" w:space="0"/>
              <w:left w:val="single" w:color="auto" w:sz="4" w:space="0"/>
              <w:right w:val="single" w:color="auto" w:sz="4" w:space="0"/>
            </w:tcBorders>
            <w:noWrap w:val="0"/>
            <w:vAlign w:val="center"/>
          </w:tcPr>
          <w:p>
            <w:pPr>
              <w:spacing w:after="0" w:line="240" w:lineRule="exact"/>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自评</w:t>
            </w:r>
            <w:r>
              <w:rPr>
                <w:rFonts w:hint="default" w:ascii="Times New Roman" w:hAnsi="Times New Roman" w:eastAsia="宋体" w:cs="Times New Roman"/>
                <w:sz w:val="20"/>
                <w:szCs w:val="20"/>
                <w:lang w:eastAsia="zh-CN"/>
              </w:rPr>
              <w:t>结果</w:t>
            </w:r>
          </w:p>
        </w:tc>
        <w:tc>
          <w:tcPr>
            <w:tcW w:w="1460" w:type="dxa"/>
            <w:tcBorders>
              <w:top w:val="single" w:color="auto" w:sz="4" w:space="0"/>
              <w:left w:val="nil"/>
              <w:bottom w:val="single" w:color="auto" w:sz="4" w:space="0"/>
              <w:right w:val="single" w:color="auto" w:sz="4" w:space="0"/>
            </w:tcBorders>
            <w:noWrap w:val="0"/>
            <w:vAlign w:val="center"/>
          </w:tcPr>
          <w:p>
            <w:pPr>
              <w:spacing w:after="0" w:line="240" w:lineRule="exact"/>
              <w:rPr>
                <w:rFonts w:hint="default" w:ascii="Times New Roman" w:hAnsi="Times New Roman" w:eastAsia="宋体" w:cs="Times New Roman"/>
                <w:sz w:val="20"/>
                <w:szCs w:val="20"/>
                <w:lang w:eastAsia="zh-CN"/>
              </w:rPr>
            </w:pPr>
            <w:r>
              <w:rPr>
                <w:rFonts w:hint="default" w:ascii="Times New Roman" w:hAnsi="Times New Roman" w:eastAsia="宋体" w:cs="Times New Roman"/>
                <w:sz w:val="20"/>
                <w:szCs w:val="20"/>
              </w:rPr>
              <w:t>绩效</w:t>
            </w:r>
            <w:r>
              <w:rPr>
                <w:rFonts w:hint="default" w:ascii="Times New Roman" w:hAnsi="Times New Roman" w:eastAsia="宋体" w:cs="Times New Roman"/>
                <w:sz w:val="20"/>
                <w:szCs w:val="20"/>
                <w:lang w:val="en-US" w:eastAsia="zh-CN"/>
              </w:rPr>
              <w:t>自评结果</w:t>
            </w:r>
            <w:r>
              <w:rPr>
                <w:rFonts w:hint="default" w:ascii="Times New Roman" w:hAnsi="Times New Roman" w:eastAsia="宋体" w:cs="Times New Roman"/>
                <w:sz w:val="20"/>
                <w:szCs w:val="20"/>
                <w:lang w:eastAsia="zh-CN"/>
              </w:rPr>
              <w:t>的</w:t>
            </w:r>
            <w:r>
              <w:rPr>
                <w:rFonts w:hint="default" w:ascii="Times New Roman" w:hAnsi="Times New Roman" w:eastAsia="宋体" w:cs="Times New Roman"/>
                <w:sz w:val="20"/>
                <w:szCs w:val="20"/>
              </w:rPr>
              <w:t>完整</w:t>
            </w:r>
            <w:r>
              <w:rPr>
                <w:rFonts w:hint="default" w:ascii="Times New Roman" w:hAnsi="Times New Roman" w:eastAsia="宋体" w:cs="Times New Roman"/>
                <w:sz w:val="20"/>
                <w:szCs w:val="20"/>
                <w:lang w:eastAsia="zh-CN"/>
              </w:rPr>
              <w:t>性</w:t>
            </w:r>
          </w:p>
        </w:tc>
        <w:tc>
          <w:tcPr>
            <w:tcW w:w="731" w:type="dxa"/>
            <w:tcBorders>
              <w:top w:val="single" w:color="auto" w:sz="4" w:space="0"/>
              <w:left w:val="nil"/>
              <w:bottom w:val="single" w:color="auto" w:sz="4" w:space="0"/>
              <w:right w:val="single" w:color="auto" w:sz="4" w:space="0"/>
            </w:tcBorders>
            <w:noWrap w:val="0"/>
            <w:vAlign w:val="center"/>
          </w:tcPr>
          <w:p>
            <w:pPr>
              <w:spacing w:after="0" w:line="240" w:lineRule="exact"/>
              <w:jc w:val="center"/>
              <w:rPr>
                <w:rFonts w:hint="default"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eastAsia="zh-CN"/>
              </w:rPr>
              <w:t>20</w:t>
            </w:r>
          </w:p>
        </w:tc>
        <w:tc>
          <w:tcPr>
            <w:tcW w:w="4732" w:type="dxa"/>
            <w:tcBorders>
              <w:top w:val="nil"/>
              <w:left w:val="nil"/>
              <w:bottom w:val="single" w:color="auto" w:sz="4" w:space="0"/>
              <w:right w:val="single" w:color="auto" w:sz="4" w:space="0"/>
            </w:tcBorders>
            <w:noWrap w:val="0"/>
            <w:vAlign w:val="center"/>
          </w:tcPr>
          <w:p>
            <w:pPr>
              <w:spacing w:after="0" w:line="240" w:lineRule="exac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绩效</w:t>
            </w:r>
            <w:r>
              <w:rPr>
                <w:rFonts w:hint="default" w:ascii="Times New Roman" w:hAnsi="Times New Roman" w:cs="Times New Roman"/>
                <w:sz w:val="20"/>
                <w:szCs w:val="20"/>
                <w:lang w:eastAsia="zh-CN"/>
              </w:rPr>
              <w:t>自评</w:t>
            </w:r>
            <w:r>
              <w:rPr>
                <w:rFonts w:hint="default" w:ascii="Times New Roman" w:hAnsi="Times New Roman" w:eastAsia="宋体" w:cs="Times New Roman"/>
                <w:sz w:val="20"/>
                <w:szCs w:val="20"/>
                <w:lang w:eastAsia="zh-CN"/>
              </w:rPr>
              <w:t>结果</w:t>
            </w:r>
            <w:r>
              <w:rPr>
                <w:rFonts w:hint="default" w:ascii="Times New Roman" w:hAnsi="Times New Roman" w:eastAsia="宋体" w:cs="Times New Roman"/>
                <w:sz w:val="20"/>
                <w:szCs w:val="20"/>
              </w:rPr>
              <w:t>含</w:t>
            </w:r>
            <w:r>
              <w:rPr>
                <w:rFonts w:hint="default" w:ascii="Times New Roman" w:hAnsi="Times New Roman" w:eastAsia="宋体" w:cs="Times New Roman"/>
                <w:sz w:val="20"/>
                <w:szCs w:val="20"/>
                <w:lang w:eastAsia="zh-CN"/>
              </w:rPr>
              <w:t>部门整体绩效自评报告</w:t>
            </w:r>
            <w:r>
              <w:rPr>
                <w:rFonts w:hint="default" w:ascii="Times New Roman" w:hAnsi="Times New Roman" w:cs="Times New Roman"/>
                <w:sz w:val="20"/>
                <w:szCs w:val="20"/>
                <w:lang w:eastAsia="zh-CN"/>
              </w:rPr>
              <w:t>（包括</w:t>
            </w:r>
            <w:r>
              <w:rPr>
                <w:rFonts w:hint="default" w:ascii="Times New Roman" w:hAnsi="Times New Roman" w:eastAsia="宋体" w:cs="Times New Roman"/>
                <w:sz w:val="20"/>
                <w:szCs w:val="20"/>
                <w:lang w:val="en-US" w:eastAsia="zh-CN"/>
              </w:rPr>
              <w:t>部门概况、</w:t>
            </w:r>
            <w:r>
              <w:rPr>
                <w:rFonts w:hint="default" w:ascii="Times New Roman" w:hAnsi="Times New Roman" w:cs="Times New Roman"/>
                <w:sz w:val="20"/>
                <w:szCs w:val="20"/>
                <w:lang w:val="en-US" w:eastAsia="zh-CN"/>
              </w:rPr>
              <w:t>一般公共预算支出情况、部门项目组织实施情况、资产管理情况、政府性基金预算支出情况、国有资本经营预算支出情况、社会保险基金预算支出情况、部门整体支出绩效情况、存在问题及原因分析、下一步改进措施等）和</w:t>
            </w:r>
            <w:r>
              <w:rPr>
                <w:rFonts w:hint="default" w:ascii="Times New Roman" w:hAnsi="Times New Roman" w:eastAsia="宋体" w:cs="Times New Roman"/>
                <w:sz w:val="20"/>
                <w:szCs w:val="20"/>
              </w:rPr>
              <w:t>评价指标的得</w:t>
            </w:r>
            <w:r>
              <w:rPr>
                <w:rFonts w:hint="default" w:ascii="Times New Roman" w:hAnsi="Times New Roman" w:eastAsia="宋体" w:cs="Times New Roman"/>
                <w:sz w:val="20"/>
                <w:szCs w:val="20"/>
                <w:lang w:val="en-US" w:eastAsia="zh-CN"/>
              </w:rPr>
              <w:t>20</w:t>
            </w:r>
            <w:r>
              <w:rPr>
                <w:rFonts w:hint="default" w:ascii="Times New Roman" w:hAnsi="Times New Roman" w:eastAsia="宋体" w:cs="Times New Roman"/>
                <w:sz w:val="20"/>
                <w:szCs w:val="20"/>
              </w:rPr>
              <w:t>分，每缺少一项扣</w:t>
            </w:r>
            <w:r>
              <w:rPr>
                <w:rFonts w:hint="default" w:ascii="Times New Roman" w:hAnsi="Times New Roman" w:eastAsia="宋体" w:cs="Times New Roman"/>
                <w:sz w:val="20"/>
                <w:szCs w:val="20"/>
                <w:lang w:val="en-US" w:eastAsia="zh-CN"/>
              </w:rPr>
              <w:t>3</w:t>
            </w:r>
            <w:r>
              <w:rPr>
                <w:rFonts w:hint="default" w:ascii="Times New Roman" w:hAnsi="Times New Roman" w:eastAsia="宋体" w:cs="Times New Roman"/>
                <w:sz w:val="20"/>
                <w:szCs w:val="20"/>
              </w:rPr>
              <w:t>分</w:t>
            </w:r>
            <w:r>
              <w:rPr>
                <w:rFonts w:hint="default" w:ascii="Times New Roman" w:hAnsi="Times New Roman" w:eastAsia="宋体" w:cs="Times New Roman"/>
                <w:sz w:val="20"/>
                <w:szCs w:val="20"/>
                <w:lang w:eastAsia="zh-CN"/>
              </w:rPr>
              <w:t>，扣完即止</w:t>
            </w:r>
            <w:r>
              <w:rPr>
                <w:rFonts w:hint="default" w:ascii="Times New Roman" w:hAnsi="Times New Roman" w:eastAsia="宋体" w:cs="Times New Roman"/>
                <w:sz w:val="20"/>
                <w:szCs w:val="20"/>
              </w:rPr>
              <w:t>。</w:t>
            </w:r>
          </w:p>
        </w:tc>
        <w:tc>
          <w:tcPr>
            <w:tcW w:w="1059"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0"/>
                <w:szCs w:val="20"/>
              </w:rPr>
            </w:pPr>
            <w:r>
              <w:rPr>
                <w:rFonts w:hint="eastAsia" w:ascii="Times New Roman" w:hAnsi="Times New Roman" w:cs="Times New Roman"/>
                <w:sz w:val="20"/>
                <w:szCs w:val="20"/>
                <w:lang w:val="en-US" w:eastAsia="zh-CN"/>
              </w:rPr>
              <w:t>17</w:t>
            </w:r>
          </w:p>
        </w:tc>
      </w:tr>
      <w:tr>
        <w:tblPrEx>
          <w:tblCellMar>
            <w:top w:w="0" w:type="dxa"/>
            <w:left w:w="108" w:type="dxa"/>
            <w:bottom w:w="0" w:type="dxa"/>
            <w:right w:w="108" w:type="dxa"/>
          </w:tblCellMar>
        </w:tblPrEx>
        <w:trPr>
          <w:trHeight w:val="2146" w:hRule="atLeast"/>
          <w:jc w:val="center"/>
        </w:trPr>
        <w:tc>
          <w:tcPr>
            <w:tcW w:w="1089" w:type="dxa"/>
            <w:vMerge w:val="continue"/>
            <w:tcBorders>
              <w:left w:val="single" w:color="auto" w:sz="4" w:space="0"/>
              <w:right w:val="single" w:color="auto" w:sz="4" w:space="0"/>
            </w:tcBorders>
            <w:noWrap w:val="0"/>
            <w:vAlign w:val="center"/>
          </w:tcPr>
          <w:p>
            <w:pPr>
              <w:spacing w:after="0" w:line="240" w:lineRule="exact"/>
              <w:rPr>
                <w:rFonts w:hint="default" w:ascii="Times New Roman" w:hAnsi="Times New Roman" w:eastAsia="宋体" w:cs="Times New Roman"/>
                <w:sz w:val="20"/>
                <w:szCs w:val="20"/>
              </w:rPr>
            </w:pPr>
          </w:p>
        </w:tc>
        <w:tc>
          <w:tcPr>
            <w:tcW w:w="1460" w:type="dxa"/>
            <w:tcBorders>
              <w:top w:val="nil"/>
              <w:left w:val="nil"/>
              <w:bottom w:val="single" w:color="auto" w:sz="4" w:space="0"/>
              <w:right w:val="single" w:color="auto" w:sz="4" w:space="0"/>
            </w:tcBorders>
            <w:noWrap w:val="0"/>
            <w:vAlign w:val="center"/>
          </w:tcPr>
          <w:p>
            <w:pPr>
              <w:spacing w:after="0" w:line="240" w:lineRule="exact"/>
              <w:rPr>
                <w:rFonts w:hint="default" w:ascii="Times New Roman" w:hAnsi="Times New Roman" w:eastAsia="宋体" w:cs="Times New Roman"/>
                <w:kern w:val="2"/>
                <w:sz w:val="20"/>
                <w:szCs w:val="20"/>
                <w:lang w:val="en-US" w:eastAsia="zh-CN" w:bidi="ar-SA"/>
              </w:rPr>
            </w:pPr>
            <w:r>
              <w:rPr>
                <w:rFonts w:hint="default" w:ascii="Times New Roman" w:hAnsi="Times New Roman" w:eastAsia="宋体" w:cs="Times New Roman"/>
                <w:sz w:val="20"/>
                <w:szCs w:val="20"/>
              </w:rPr>
              <w:t>绩效</w:t>
            </w:r>
            <w:r>
              <w:rPr>
                <w:rFonts w:hint="default" w:ascii="Times New Roman" w:hAnsi="Times New Roman" w:eastAsia="宋体" w:cs="Times New Roman"/>
                <w:sz w:val="20"/>
                <w:szCs w:val="20"/>
                <w:lang w:val="en-US" w:eastAsia="zh-CN"/>
              </w:rPr>
              <w:t>自评</w:t>
            </w:r>
            <w:r>
              <w:rPr>
                <w:rFonts w:hint="default" w:ascii="Times New Roman" w:hAnsi="Times New Roman" w:eastAsia="宋体" w:cs="Times New Roman"/>
                <w:sz w:val="20"/>
                <w:szCs w:val="20"/>
              </w:rPr>
              <w:t>指标是否细化和</w:t>
            </w:r>
            <w:r>
              <w:rPr>
                <w:rFonts w:hint="default" w:ascii="Times New Roman" w:hAnsi="Times New Roman" w:eastAsia="宋体" w:cs="Times New Roman"/>
                <w:sz w:val="20"/>
                <w:szCs w:val="20"/>
                <w:lang w:eastAsia="zh-CN"/>
              </w:rPr>
              <w:t>量化</w:t>
            </w:r>
          </w:p>
        </w:tc>
        <w:tc>
          <w:tcPr>
            <w:tcW w:w="731" w:type="dxa"/>
            <w:tcBorders>
              <w:top w:val="nil"/>
              <w:left w:val="nil"/>
              <w:bottom w:val="single" w:color="auto" w:sz="4" w:space="0"/>
              <w:right w:val="single" w:color="auto" w:sz="4" w:space="0"/>
            </w:tcBorders>
            <w:noWrap w:val="0"/>
            <w:vAlign w:val="center"/>
          </w:tcPr>
          <w:p>
            <w:pPr>
              <w:spacing w:after="0" w:line="240" w:lineRule="exact"/>
              <w:jc w:val="center"/>
              <w:rPr>
                <w:rFonts w:hint="default" w:ascii="Times New Roman" w:hAnsi="Times New Roman" w:eastAsia="宋体" w:cs="Times New Roman"/>
                <w:kern w:val="2"/>
                <w:sz w:val="20"/>
                <w:szCs w:val="20"/>
                <w:lang w:val="en-US" w:eastAsia="zh-CN" w:bidi="ar-SA"/>
              </w:rPr>
            </w:pPr>
            <w:r>
              <w:rPr>
                <w:rFonts w:hint="default" w:ascii="Times New Roman" w:hAnsi="Times New Roman" w:eastAsia="宋体" w:cs="Times New Roman"/>
                <w:sz w:val="20"/>
                <w:szCs w:val="20"/>
                <w:lang w:val="en-US" w:eastAsia="zh-CN"/>
              </w:rPr>
              <w:t>15</w:t>
            </w:r>
          </w:p>
        </w:tc>
        <w:tc>
          <w:tcPr>
            <w:tcW w:w="4732" w:type="dxa"/>
            <w:tcBorders>
              <w:top w:val="nil"/>
              <w:left w:val="nil"/>
              <w:bottom w:val="single" w:color="auto" w:sz="4" w:space="0"/>
              <w:right w:val="single" w:color="auto" w:sz="4" w:space="0"/>
            </w:tcBorders>
            <w:noWrap w:val="0"/>
            <w:vAlign w:val="center"/>
          </w:tcPr>
          <w:p>
            <w:pPr>
              <w:spacing w:line="240" w:lineRule="exac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lang w:val="en-US" w:eastAsia="zh-CN"/>
              </w:rPr>
              <w:t>1、</w:t>
            </w:r>
            <w:r>
              <w:rPr>
                <w:rFonts w:hint="default" w:ascii="Times New Roman" w:hAnsi="Times New Roman" w:eastAsia="宋体" w:cs="Times New Roman"/>
                <w:sz w:val="20"/>
                <w:szCs w:val="20"/>
                <w:highlight w:val="none"/>
                <w:lang w:eastAsia="zh-CN"/>
              </w:rPr>
              <w:t>产出</w:t>
            </w:r>
            <w:r>
              <w:rPr>
                <w:rFonts w:hint="default" w:ascii="Times New Roman" w:hAnsi="Times New Roman" w:cs="Times New Roman"/>
                <w:sz w:val="20"/>
                <w:szCs w:val="20"/>
                <w:highlight w:val="none"/>
                <w:lang w:eastAsia="zh-CN"/>
              </w:rPr>
              <w:t>指标的</w:t>
            </w:r>
            <w:r>
              <w:rPr>
                <w:rFonts w:hint="default" w:ascii="Times New Roman" w:hAnsi="Times New Roman" w:eastAsia="宋体" w:cs="Times New Roman"/>
                <w:sz w:val="20"/>
                <w:szCs w:val="20"/>
                <w:highlight w:val="none"/>
                <w:lang w:eastAsia="zh-CN"/>
              </w:rPr>
              <w:t>三级指标和</w:t>
            </w:r>
            <w:r>
              <w:rPr>
                <w:rFonts w:hint="default" w:ascii="Times New Roman" w:hAnsi="Times New Roman" w:cs="Times New Roman"/>
                <w:sz w:val="20"/>
                <w:szCs w:val="20"/>
                <w:highlight w:val="none"/>
                <w:lang w:eastAsia="zh-CN"/>
              </w:rPr>
              <w:t>效益指标的</w:t>
            </w:r>
            <w:r>
              <w:rPr>
                <w:rFonts w:hint="default" w:ascii="Times New Roman" w:hAnsi="Times New Roman" w:eastAsia="宋体" w:cs="Times New Roman"/>
                <w:sz w:val="20"/>
                <w:szCs w:val="20"/>
                <w:highlight w:val="none"/>
                <w:lang w:eastAsia="zh-CN"/>
              </w:rPr>
              <w:t>三级指标均大于等于</w:t>
            </w:r>
            <w:r>
              <w:rPr>
                <w:rFonts w:hint="default" w:ascii="Times New Roman" w:hAnsi="Times New Roman" w:eastAsia="宋体" w:cs="Times New Roman"/>
                <w:sz w:val="20"/>
                <w:szCs w:val="20"/>
                <w:highlight w:val="none"/>
                <w:lang w:val="en-US" w:eastAsia="zh-CN"/>
              </w:rPr>
              <w:t>3个的</w:t>
            </w:r>
            <w:r>
              <w:rPr>
                <w:rFonts w:hint="default" w:ascii="Times New Roman" w:hAnsi="Times New Roman" w:eastAsia="宋体" w:cs="Times New Roman"/>
                <w:sz w:val="20"/>
                <w:szCs w:val="20"/>
                <w:highlight w:val="none"/>
              </w:rPr>
              <w:t>，得</w:t>
            </w:r>
            <w:r>
              <w:rPr>
                <w:rFonts w:hint="default" w:ascii="Times New Roman" w:hAnsi="Times New Roman" w:eastAsia="宋体" w:cs="Times New Roman"/>
                <w:sz w:val="20"/>
                <w:szCs w:val="20"/>
                <w:highlight w:val="none"/>
                <w:lang w:val="en-US" w:eastAsia="zh-CN"/>
              </w:rPr>
              <w:t>10</w:t>
            </w:r>
            <w:r>
              <w:rPr>
                <w:rFonts w:hint="default" w:ascii="Times New Roman" w:hAnsi="Times New Roman" w:eastAsia="宋体" w:cs="Times New Roman"/>
                <w:sz w:val="20"/>
                <w:szCs w:val="20"/>
                <w:highlight w:val="none"/>
              </w:rPr>
              <w:t>分；</w:t>
            </w:r>
            <w:r>
              <w:rPr>
                <w:rFonts w:hint="default" w:ascii="Times New Roman" w:hAnsi="Times New Roman" w:eastAsia="宋体" w:cs="Times New Roman"/>
                <w:sz w:val="20"/>
                <w:szCs w:val="20"/>
                <w:highlight w:val="none"/>
                <w:lang w:eastAsia="zh-CN"/>
              </w:rPr>
              <w:t>有细化但少于</w:t>
            </w:r>
            <w:r>
              <w:rPr>
                <w:rFonts w:hint="default" w:ascii="Times New Roman" w:hAnsi="Times New Roman" w:eastAsia="宋体" w:cs="Times New Roman"/>
                <w:sz w:val="20"/>
                <w:szCs w:val="20"/>
                <w:highlight w:val="none"/>
                <w:lang w:val="en-US" w:eastAsia="zh-CN"/>
              </w:rPr>
              <w:t>3个</w:t>
            </w:r>
            <w:r>
              <w:rPr>
                <w:rFonts w:hint="default" w:ascii="Times New Roman" w:hAnsi="Times New Roman" w:eastAsia="宋体" w:cs="Times New Roman"/>
                <w:sz w:val="20"/>
                <w:szCs w:val="20"/>
                <w:highlight w:val="none"/>
              </w:rPr>
              <w:t>的，</w:t>
            </w:r>
            <w:r>
              <w:rPr>
                <w:rFonts w:hint="default" w:ascii="Times New Roman" w:hAnsi="Times New Roman" w:eastAsia="宋体" w:cs="Times New Roman"/>
                <w:sz w:val="20"/>
                <w:szCs w:val="20"/>
                <w:highlight w:val="none"/>
                <w:lang w:eastAsia="zh-CN"/>
              </w:rPr>
              <w:t>得</w:t>
            </w:r>
            <w:r>
              <w:rPr>
                <w:rFonts w:hint="default" w:ascii="Times New Roman" w:hAnsi="Times New Roman" w:eastAsia="宋体" w:cs="Times New Roman"/>
                <w:sz w:val="20"/>
                <w:szCs w:val="20"/>
                <w:highlight w:val="none"/>
                <w:lang w:val="en-US" w:eastAsia="zh-CN"/>
              </w:rPr>
              <w:t>5分</w:t>
            </w:r>
            <w:r>
              <w:rPr>
                <w:rFonts w:hint="default" w:ascii="Times New Roman" w:hAnsi="Times New Roman" w:eastAsia="宋体" w:cs="Times New Roman"/>
                <w:sz w:val="20"/>
                <w:szCs w:val="20"/>
                <w:highlight w:val="none"/>
              </w:rPr>
              <w:t>；没有细化的，不得分。</w:t>
            </w:r>
          </w:p>
          <w:p>
            <w:pPr>
              <w:spacing w:after="0" w:line="240" w:lineRule="exact"/>
              <w:rPr>
                <w:rFonts w:hint="default" w:ascii="Times New Roman" w:hAnsi="Times New Roman" w:eastAsia="宋体" w:cs="Times New Roman"/>
                <w:kern w:val="2"/>
                <w:sz w:val="20"/>
                <w:szCs w:val="20"/>
                <w:lang w:val="en-US" w:eastAsia="zh-CN" w:bidi="ar-SA"/>
              </w:rPr>
            </w:pPr>
            <w:r>
              <w:rPr>
                <w:rFonts w:hint="default" w:ascii="Times New Roman" w:hAnsi="Times New Roman" w:eastAsia="宋体" w:cs="Times New Roman"/>
                <w:sz w:val="20"/>
                <w:szCs w:val="20"/>
                <w:lang w:val="en-US" w:eastAsia="zh-CN"/>
              </w:rPr>
              <w:t>2</w:t>
            </w:r>
            <w:r>
              <w:rPr>
                <w:rFonts w:hint="default" w:ascii="Times New Roman" w:hAnsi="Times New Roman" w:eastAsia="宋体" w:cs="Times New Roman"/>
                <w:sz w:val="20"/>
                <w:szCs w:val="20"/>
              </w:rPr>
              <w:t>、</w:t>
            </w:r>
            <w:r>
              <w:rPr>
                <w:rFonts w:hint="default" w:ascii="Times New Roman" w:hAnsi="Times New Roman" w:eastAsia="宋体" w:cs="Times New Roman"/>
                <w:sz w:val="20"/>
                <w:szCs w:val="20"/>
                <w:lang w:eastAsia="zh-CN"/>
              </w:rPr>
              <w:t>个性</w:t>
            </w:r>
            <w:r>
              <w:rPr>
                <w:rFonts w:hint="default" w:ascii="Times New Roman" w:hAnsi="Times New Roman" w:eastAsia="宋体" w:cs="Times New Roman"/>
                <w:sz w:val="20"/>
                <w:szCs w:val="20"/>
              </w:rPr>
              <w:t>指标内涵明确、具体、可衡量的得</w:t>
            </w:r>
            <w:r>
              <w:rPr>
                <w:rFonts w:hint="default" w:ascii="Times New Roman" w:hAnsi="Times New Roman" w:eastAsia="宋体" w:cs="Times New Roman"/>
                <w:sz w:val="20"/>
                <w:szCs w:val="20"/>
                <w:lang w:val="en-US" w:eastAsia="zh-CN"/>
              </w:rPr>
              <w:t>2</w:t>
            </w:r>
            <w:r>
              <w:rPr>
                <w:rFonts w:hint="default" w:ascii="Times New Roman" w:hAnsi="Times New Roman" w:eastAsia="宋体" w:cs="Times New Roman"/>
                <w:sz w:val="20"/>
                <w:szCs w:val="20"/>
              </w:rPr>
              <w:t>分；突出核心指标，精简实用的得</w:t>
            </w:r>
            <w:r>
              <w:rPr>
                <w:rFonts w:hint="default" w:ascii="Times New Roman" w:hAnsi="Times New Roman" w:eastAsia="宋体" w:cs="Times New Roman"/>
                <w:sz w:val="20"/>
                <w:szCs w:val="20"/>
                <w:lang w:val="en-US" w:eastAsia="zh-CN"/>
              </w:rPr>
              <w:t>2</w:t>
            </w:r>
            <w:r>
              <w:rPr>
                <w:rFonts w:hint="default" w:ascii="Times New Roman" w:hAnsi="Times New Roman" w:eastAsia="宋体" w:cs="Times New Roman"/>
                <w:sz w:val="20"/>
                <w:szCs w:val="20"/>
              </w:rPr>
              <w:t>分；指标与支出密切相关，全面反映产出和效益的得</w:t>
            </w:r>
            <w:r>
              <w:rPr>
                <w:rFonts w:hint="default" w:ascii="Times New Roman" w:hAnsi="Times New Roman" w:eastAsia="宋体" w:cs="Times New Roman"/>
                <w:sz w:val="20"/>
                <w:szCs w:val="20"/>
                <w:lang w:val="en-US" w:eastAsia="zh-CN"/>
              </w:rPr>
              <w:t>1</w:t>
            </w:r>
            <w:r>
              <w:rPr>
                <w:rFonts w:hint="default" w:ascii="Times New Roman" w:hAnsi="Times New Roman" w:eastAsia="宋体" w:cs="Times New Roman"/>
                <w:sz w:val="20"/>
                <w:szCs w:val="20"/>
              </w:rPr>
              <w:t>分；否则每项酌情扣分，最多扣</w:t>
            </w:r>
            <w:r>
              <w:rPr>
                <w:rFonts w:hint="default" w:ascii="Times New Roman" w:hAnsi="Times New Roman" w:eastAsia="宋体" w:cs="Times New Roman"/>
                <w:sz w:val="20"/>
                <w:szCs w:val="20"/>
                <w:lang w:val="en-US" w:eastAsia="zh-CN"/>
              </w:rPr>
              <w:t>5</w:t>
            </w:r>
            <w:r>
              <w:rPr>
                <w:rFonts w:hint="default" w:ascii="Times New Roman" w:hAnsi="Times New Roman" w:eastAsia="宋体" w:cs="Times New Roman"/>
                <w:sz w:val="20"/>
                <w:szCs w:val="20"/>
              </w:rPr>
              <w:t>分。</w:t>
            </w:r>
          </w:p>
        </w:tc>
        <w:tc>
          <w:tcPr>
            <w:tcW w:w="1059" w:type="dxa"/>
            <w:tcBorders>
              <w:top w:val="nil"/>
              <w:left w:val="nil"/>
              <w:bottom w:val="single" w:color="auto" w:sz="4" w:space="0"/>
              <w:right w:val="single" w:color="auto" w:sz="4" w:space="0"/>
            </w:tcBorders>
            <w:noWrap w:val="0"/>
            <w:vAlign w:val="center"/>
          </w:tcPr>
          <w:p>
            <w:pPr>
              <w:spacing w:after="0" w:line="240" w:lineRule="exact"/>
              <w:ind w:firstLine="400" w:firstLineChars="200"/>
              <w:jc w:val="both"/>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15</w:t>
            </w:r>
          </w:p>
        </w:tc>
      </w:tr>
      <w:tr>
        <w:tblPrEx>
          <w:tblCellMar>
            <w:top w:w="0" w:type="dxa"/>
            <w:left w:w="108" w:type="dxa"/>
            <w:bottom w:w="0" w:type="dxa"/>
            <w:right w:w="108" w:type="dxa"/>
          </w:tblCellMar>
        </w:tblPrEx>
        <w:trPr>
          <w:trHeight w:val="1136" w:hRule="atLeast"/>
          <w:jc w:val="center"/>
        </w:trPr>
        <w:tc>
          <w:tcPr>
            <w:tcW w:w="1089" w:type="dxa"/>
            <w:vMerge w:val="continue"/>
            <w:tcBorders>
              <w:left w:val="single" w:color="auto" w:sz="4" w:space="0"/>
              <w:right w:val="single" w:color="auto" w:sz="4" w:space="0"/>
            </w:tcBorders>
            <w:noWrap w:val="0"/>
            <w:vAlign w:val="center"/>
          </w:tcPr>
          <w:p>
            <w:pPr>
              <w:spacing w:after="0" w:line="240" w:lineRule="exact"/>
              <w:rPr>
                <w:rFonts w:hint="default" w:ascii="Times New Roman" w:hAnsi="Times New Roman" w:eastAsia="宋体" w:cs="Times New Roman"/>
                <w:sz w:val="20"/>
                <w:szCs w:val="20"/>
              </w:rPr>
            </w:pPr>
          </w:p>
        </w:tc>
        <w:tc>
          <w:tcPr>
            <w:tcW w:w="1460" w:type="dxa"/>
            <w:tcBorders>
              <w:top w:val="nil"/>
              <w:left w:val="nil"/>
              <w:bottom w:val="single" w:color="auto" w:sz="4" w:space="0"/>
              <w:right w:val="single" w:color="auto" w:sz="4" w:space="0"/>
            </w:tcBorders>
            <w:noWrap w:val="0"/>
            <w:vAlign w:val="center"/>
          </w:tcPr>
          <w:p>
            <w:pPr>
              <w:spacing w:after="0" w:line="240" w:lineRule="exac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填报</w:t>
            </w:r>
            <w:r>
              <w:rPr>
                <w:rFonts w:hint="default" w:ascii="Times New Roman" w:hAnsi="Times New Roman" w:eastAsia="宋体" w:cs="Times New Roman"/>
                <w:sz w:val="20"/>
                <w:szCs w:val="20"/>
                <w:lang w:eastAsia="zh-CN"/>
              </w:rPr>
              <w:t>数据</w:t>
            </w:r>
            <w:r>
              <w:rPr>
                <w:rFonts w:hint="default" w:ascii="Times New Roman" w:hAnsi="Times New Roman" w:eastAsia="宋体" w:cs="Times New Roman"/>
                <w:sz w:val="20"/>
                <w:szCs w:val="20"/>
              </w:rPr>
              <w:t>真实性</w:t>
            </w:r>
          </w:p>
        </w:tc>
        <w:tc>
          <w:tcPr>
            <w:tcW w:w="731" w:type="dxa"/>
            <w:tcBorders>
              <w:top w:val="nil"/>
              <w:left w:val="nil"/>
              <w:bottom w:val="single" w:color="auto" w:sz="4" w:space="0"/>
              <w:right w:val="single" w:color="auto" w:sz="4" w:space="0"/>
            </w:tcBorders>
            <w:noWrap w:val="0"/>
            <w:vAlign w:val="center"/>
          </w:tcPr>
          <w:p>
            <w:pPr>
              <w:spacing w:after="0" w:line="240" w:lineRule="exact"/>
              <w:jc w:val="center"/>
              <w:rPr>
                <w:rFonts w:hint="default" w:ascii="Times New Roman" w:hAnsi="Times New Roman" w:eastAsia="宋体" w:cs="Times New Roman"/>
                <w:sz w:val="20"/>
                <w:szCs w:val="20"/>
                <w:lang w:val="en-US" w:eastAsia="zh-CN"/>
              </w:rPr>
            </w:pPr>
            <w:r>
              <w:rPr>
                <w:rFonts w:hint="default" w:ascii="Times New Roman" w:hAnsi="Times New Roman" w:cs="Times New Roman"/>
                <w:sz w:val="20"/>
                <w:szCs w:val="20"/>
                <w:lang w:val="en-US" w:eastAsia="zh-CN"/>
              </w:rPr>
              <w:t>1</w:t>
            </w:r>
            <w:r>
              <w:rPr>
                <w:rFonts w:hint="default" w:ascii="Times New Roman" w:hAnsi="Times New Roman" w:eastAsia="宋体" w:cs="Times New Roman"/>
                <w:sz w:val="20"/>
                <w:szCs w:val="20"/>
                <w:lang w:val="en-US" w:eastAsia="zh-CN"/>
              </w:rPr>
              <w:t>5</w:t>
            </w:r>
          </w:p>
        </w:tc>
        <w:tc>
          <w:tcPr>
            <w:tcW w:w="4732" w:type="dxa"/>
            <w:tcBorders>
              <w:top w:val="nil"/>
              <w:left w:val="nil"/>
              <w:bottom w:val="single" w:color="auto" w:sz="4" w:space="0"/>
              <w:right w:val="single" w:color="auto" w:sz="4" w:space="0"/>
            </w:tcBorders>
            <w:noWrap w:val="0"/>
            <w:vAlign w:val="center"/>
          </w:tcPr>
          <w:p>
            <w:pPr>
              <w:spacing w:after="0" w:line="240" w:lineRule="exac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针对部门整体支出绩效评价</w:t>
            </w:r>
            <w:r>
              <w:rPr>
                <w:rFonts w:hint="default" w:ascii="Times New Roman" w:hAnsi="Times New Roman" w:eastAsia="宋体" w:cs="Times New Roman"/>
                <w:sz w:val="20"/>
                <w:szCs w:val="20"/>
                <w:lang w:eastAsia="zh-CN"/>
              </w:rPr>
              <w:t>结果</w:t>
            </w:r>
            <w:r>
              <w:rPr>
                <w:rFonts w:hint="default" w:ascii="Times New Roman" w:hAnsi="Times New Roman" w:eastAsia="宋体" w:cs="Times New Roman"/>
                <w:sz w:val="20"/>
                <w:szCs w:val="20"/>
              </w:rPr>
              <w:t>中的所有数据，从部门</w:t>
            </w:r>
            <w:r>
              <w:rPr>
                <w:rFonts w:hint="default" w:ascii="Times New Roman" w:hAnsi="Times New Roman" w:cs="Times New Roman"/>
                <w:sz w:val="20"/>
                <w:szCs w:val="20"/>
                <w:lang w:eastAsia="zh-CN"/>
              </w:rPr>
              <w:t>公开的</w:t>
            </w:r>
            <w:r>
              <w:rPr>
                <w:rFonts w:hint="default" w:ascii="Times New Roman" w:hAnsi="Times New Roman" w:eastAsia="宋体" w:cs="Times New Roman"/>
                <w:sz w:val="20"/>
                <w:szCs w:val="20"/>
              </w:rPr>
              <w:t>材料中进行核实，全部相符的得</w:t>
            </w:r>
            <w:r>
              <w:rPr>
                <w:rFonts w:hint="default" w:ascii="Times New Roman" w:hAnsi="Times New Roman" w:cs="Times New Roman"/>
                <w:sz w:val="20"/>
                <w:szCs w:val="20"/>
                <w:lang w:val="en-US" w:eastAsia="zh-CN"/>
              </w:rPr>
              <w:t>1</w:t>
            </w:r>
            <w:r>
              <w:rPr>
                <w:rFonts w:hint="default" w:ascii="Times New Roman" w:hAnsi="Times New Roman" w:eastAsia="宋体" w:cs="Times New Roman"/>
                <w:sz w:val="20"/>
                <w:szCs w:val="20"/>
                <w:lang w:val="en-US" w:eastAsia="zh-CN"/>
              </w:rPr>
              <w:t>5</w:t>
            </w:r>
            <w:r>
              <w:rPr>
                <w:rFonts w:hint="default" w:ascii="Times New Roman" w:hAnsi="Times New Roman" w:eastAsia="宋体" w:cs="Times New Roman"/>
                <w:sz w:val="20"/>
                <w:szCs w:val="20"/>
              </w:rPr>
              <w:t>分，每有一处不相符，扣</w:t>
            </w:r>
            <w:r>
              <w:rPr>
                <w:rFonts w:hint="default" w:ascii="Times New Roman" w:hAnsi="Times New Roman" w:cs="Times New Roman"/>
                <w:sz w:val="20"/>
                <w:szCs w:val="20"/>
                <w:lang w:val="en-US" w:eastAsia="zh-CN"/>
              </w:rPr>
              <w:t>2</w:t>
            </w:r>
            <w:r>
              <w:rPr>
                <w:rFonts w:hint="default" w:ascii="Times New Roman" w:hAnsi="Times New Roman" w:eastAsia="宋体" w:cs="Times New Roman"/>
                <w:sz w:val="20"/>
                <w:szCs w:val="20"/>
              </w:rPr>
              <w:t>分</w:t>
            </w:r>
            <w:r>
              <w:rPr>
                <w:rFonts w:hint="default" w:ascii="Times New Roman" w:hAnsi="Times New Roman" w:eastAsia="宋体" w:cs="Times New Roman"/>
                <w:sz w:val="20"/>
                <w:szCs w:val="20"/>
                <w:lang w:eastAsia="zh-CN"/>
              </w:rPr>
              <w:t>，扣完即止</w:t>
            </w:r>
            <w:r>
              <w:rPr>
                <w:rFonts w:hint="default" w:ascii="Times New Roman" w:hAnsi="Times New Roman" w:eastAsia="宋体" w:cs="Times New Roman"/>
                <w:sz w:val="20"/>
                <w:szCs w:val="20"/>
              </w:rPr>
              <w:t>。</w:t>
            </w:r>
          </w:p>
        </w:tc>
        <w:tc>
          <w:tcPr>
            <w:tcW w:w="1059" w:type="dxa"/>
            <w:tcBorders>
              <w:top w:val="nil"/>
              <w:left w:val="nil"/>
              <w:bottom w:val="single" w:color="auto" w:sz="4" w:space="0"/>
              <w:right w:val="single" w:color="auto" w:sz="4" w:space="0"/>
            </w:tcBorders>
            <w:noWrap w:val="0"/>
            <w:vAlign w:val="center"/>
          </w:tcPr>
          <w:p>
            <w:pPr>
              <w:spacing w:after="0" w:line="240" w:lineRule="exact"/>
              <w:jc w:val="center"/>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15</w:t>
            </w:r>
          </w:p>
        </w:tc>
      </w:tr>
      <w:tr>
        <w:tblPrEx>
          <w:tblCellMar>
            <w:top w:w="0" w:type="dxa"/>
            <w:left w:w="108" w:type="dxa"/>
            <w:bottom w:w="0" w:type="dxa"/>
            <w:right w:w="108" w:type="dxa"/>
          </w:tblCellMar>
        </w:tblPrEx>
        <w:trPr>
          <w:trHeight w:val="1243" w:hRule="atLeast"/>
          <w:jc w:val="center"/>
        </w:trPr>
        <w:tc>
          <w:tcPr>
            <w:tcW w:w="1089" w:type="dxa"/>
            <w:vMerge w:val="continue"/>
            <w:tcBorders>
              <w:left w:val="single" w:color="auto" w:sz="4" w:space="0"/>
              <w:right w:val="single" w:color="auto" w:sz="4" w:space="0"/>
            </w:tcBorders>
            <w:noWrap w:val="0"/>
            <w:vAlign w:val="center"/>
          </w:tcPr>
          <w:p>
            <w:pPr>
              <w:spacing w:after="0" w:line="240" w:lineRule="exact"/>
              <w:jc w:val="center"/>
              <w:rPr>
                <w:rFonts w:hint="default" w:ascii="Times New Roman" w:hAnsi="Times New Roman" w:eastAsia="宋体" w:cs="Times New Roman"/>
                <w:sz w:val="20"/>
                <w:szCs w:val="20"/>
              </w:rPr>
            </w:pPr>
          </w:p>
        </w:tc>
        <w:tc>
          <w:tcPr>
            <w:tcW w:w="1460" w:type="dxa"/>
            <w:tcBorders>
              <w:top w:val="nil"/>
              <w:left w:val="nil"/>
              <w:bottom w:val="single" w:color="auto" w:sz="4" w:space="0"/>
              <w:right w:val="single" w:color="auto" w:sz="4" w:space="0"/>
            </w:tcBorders>
            <w:noWrap w:val="0"/>
            <w:vAlign w:val="center"/>
          </w:tcPr>
          <w:p>
            <w:pPr>
              <w:spacing w:after="0" w:line="240" w:lineRule="exac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绩效</w:t>
            </w:r>
            <w:r>
              <w:rPr>
                <w:rFonts w:hint="default" w:ascii="Times New Roman" w:hAnsi="Times New Roman" w:eastAsia="宋体" w:cs="Times New Roman"/>
                <w:sz w:val="20"/>
                <w:szCs w:val="20"/>
                <w:lang w:val="en-US" w:eastAsia="zh-CN"/>
              </w:rPr>
              <w:t>自评</w:t>
            </w:r>
            <w:r>
              <w:rPr>
                <w:rFonts w:hint="default" w:ascii="Times New Roman" w:hAnsi="Times New Roman" w:eastAsia="宋体" w:cs="Times New Roman"/>
                <w:sz w:val="20"/>
                <w:szCs w:val="20"/>
              </w:rPr>
              <w:t>报告反映问题是否全面</w:t>
            </w:r>
          </w:p>
        </w:tc>
        <w:tc>
          <w:tcPr>
            <w:tcW w:w="731" w:type="dxa"/>
            <w:tcBorders>
              <w:top w:val="nil"/>
              <w:left w:val="nil"/>
              <w:bottom w:val="single" w:color="auto" w:sz="4" w:space="0"/>
              <w:right w:val="single" w:color="auto" w:sz="4" w:space="0"/>
            </w:tcBorders>
            <w:noWrap w:val="0"/>
            <w:vAlign w:val="center"/>
          </w:tcPr>
          <w:p>
            <w:pPr>
              <w:spacing w:after="0" w:line="240" w:lineRule="exact"/>
              <w:jc w:val="center"/>
              <w:rPr>
                <w:rFonts w:hint="default"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eastAsia="zh-CN"/>
              </w:rPr>
              <w:t>15</w:t>
            </w:r>
          </w:p>
        </w:tc>
        <w:tc>
          <w:tcPr>
            <w:tcW w:w="4732" w:type="dxa"/>
            <w:tcBorders>
              <w:top w:val="nil"/>
              <w:left w:val="nil"/>
              <w:bottom w:val="single" w:color="auto" w:sz="4" w:space="0"/>
              <w:right w:val="single" w:color="auto" w:sz="4" w:space="0"/>
            </w:tcBorders>
            <w:noWrap w:val="0"/>
            <w:vAlign w:val="center"/>
          </w:tcPr>
          <w:p>
            <w:pPr>
              <w:spacing w:after="0" w:line="240" w:lineRule="exac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反映问题比较全面</w:t>
            </w:r>
            <w:r>
              <w:rPr>
                <w:rFonts w:hint="default" w:ascii="Times New Roman" w:hAnsi="Times New Roman" w:eastAsia="宋体" w:cs="Times New Roman"/>
                <w:sz w:val="20"/>
                <w:szCs w:val="20"/>
                <w:lang w:val="en-US" w:eastAsia="zh-CN"/>
              </w:rPr>
              <w:t>并进行认真分析</w:t>
            </w:r>
            <w:r>
              <w:rPr>
                <w:rFonts w:hint="default" w:ascii="Times New Roman" w:hAnsi="Times New Roman" w:eastAsia="宋体" w:cs="Times New Roman"/>
                <w:sz w:val="20"/>
                <w:szCs w:val="20"/>
              </w:rPr>
              <w:t>的得</w:t>
            </w:r>
            <w:r>
              <w:rPr>
                <w:rFonts w:hint="default" w:ascii="Times New Roman" w:hAnsi="Times New Roman" w:eastAsia="宋体" w:cs="Times New Roman"/>
                <w:sz w:val="20"/>
                <w:szCs w:val="20"/>
                <w:lang w:val="en-US" w:eastAsia="zh-CN"/>
              </w:rPr>
              <w:t>15</w:t>
            </w:r>
            <w:r>
              <w:rPr>
                <w:rFonts w:hint="default" w:ascii="Times New Roman" w:hAnsi="Times New Roman" w:eastAsia="宋体" w:cs="Times New Roman"/>
                <w:sz w:val="20"/>
                <w:szCs w:val="20"/>
              </w:rPr>
              <w:t>分，其他情况酌情计分。</w:t>
            </w:r>
          </w:p>
        </w:tc>
        <w:tc>
          <w:tcPr>
            <w:tcW w:w="1059" w:type="dxa"/>
            <w:tcBorders>
              <w:top w:val="nil"/>
              <w:left w:val="nil"/>
              <w:bottom w:val="single" w:color="auto" w:sz="4" w:space="0"/>
              <w:right w:val="single" w:color="auto" w:sz="4" w:space="0"/>
            </w:tcBorders>
            <w:noWrap w:val="0"/>
            <w:vAlign w:val="center"/>
          </w:tcPr>
          <w:p>
            <w:pPr>
              <w:spacing w:after="0" w:line="240" w:lineRule="exact"/>
              <w:jc w:val="center"/>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12</w:t>
            </w:r>
          </w:p>
        </w:tc>
      </w:tr>
      <w:tr>
        <w:tblPrEx>
          <w:tblCellMar>
            <w:top w:w="0" w:type="dxa"/>
            <w:left w:w="108" w:type="dxa"/>
            <w:bottom w:w="0" w:type="dxa"/>
            <w:right w:w="108" w:type="dxa"/>
          </w:tblCellMar>
        </w:tblPrEx>
        <w:trPr>
          <w:trHeight w:val="1281" w:hRule="atLeast"/>
          <w:jc w:val="center"/>
        </w:trPr>
        <w:tc>
          <w:tcPr>
            <w:tcW w:w="1089" w:type="dxa"/>
            <w:vMerge w:val="continue"/>
            <w:tcBorders>
              <w:left w:val="single" w:color="auto" w:sz="4" w:space="0"/>
              <w:right w:val="single" w:color="auto" w:sz="4" w:space="0"/>
            </w:tcBorders>
            <w:noWrap w:val="0"/>
            <w:vAlign w:val="center"/>
          </w:tcPr>
          <w:p>
            <w:pPr>
              <w:spacing w:after="0" w:line="240" w:lineRule="exact"/>
              <w:rPr>
                <w:rFonts w:hint="default" w:ascii="Times New Roman" w:hAnsi="Times New Roman" w:eastAsia="宋体" w:cs="Times New Roman"/>
                <w:sz w:val="20"/>
                <w:szCs w:val="20"/>
              </w:rPr>
            </w:pPr>
          </w:p>
        </w:tc>
        <w:tc>
          <w:tcPr>
            <w:tcW w:w="1460" w:type="dxa"/>
            <w:tcBorders>
              <w:top w:val="nil"/>
              <w:left w:val="nil"/>
              <w:bottom w:val="single" w:color="auto" w:sz="4" w:space="0"/>
              <w:right w:val="single" w:color="auto" w:sz="4" w:space="0"/>
            </w:tcBorders>
            <w:noWrap w:val="0"/>
            <w:vAlign w:val="center"/>
          </w:tcPr>
          <w:p>
            <w:pPr>
              <w:spacing w:after="0" w:line="240" w:lineRule="exac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是否针对问题提出可行性建议</w:t>
            </w:r>
          </w:p>
        </w:tc>
        <w:tc>
          <w:tcPr>
            <w:tcW w:w="731" w:type="dxa"/>
            <w:tcBorders>
              <w:top w:val="nil"/>
              <w:left w:val="nil"/>
              <w:bottom w:val="single" w:color="auto" w:sz="4" w:space="0"/>
              <w:right w:val="single" w:color="auto" w:sz="4" w:space="0"/>
            </w:tcBorders>
            <w:noWrap w:val="0"/>
            <w:vAlign w:val="center"/>
          </w:tcPr>
          <w:p>
            <w:pPr>
              <w:spacing w:after="0" w:line="240" w:lineRule="exact"/>
              <w:jc w:val="center"/>
              <w:rPr>
                <w:rFonts w:hint="default"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eastAsia="zh-CN"/>
              </w:rPr>
              <w:t>15</w:t>
            </w:r>
          </w:p>
        </w:tc>
        <w:tc>
          <w:tcPr>
            <w:tcW w:w="4732" w:type="dxa"/>
            <w:tcBorders>
              <w:top w:val="nil"/>
              <w:left w:val="nil"/>
              <w:bottom w:val="single" w:color="auto" w:sz="4" w:space="0"/>
              <w:right w:val="single" w:color="auto" w:sz="4" w:space="0"/>
            </w:tcBorders>
            <w:noWrap w:val="0"/>
            <w:vAlign w:val="center"/>
          </w:tcPr>
          <w:p>
            <w:pPr>
              <w:spacing w:after="0" w:line="240" w:lineRule="exac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针对发现问题提出可行性建议</w:t>
            </w:r>
            <w:r>
              <w:rPr>
                <w:rFonts w:hint="default" w:ascii="Times New Roman" w:hAnsi="Times New Roman" w:eastAsia="宋体" w:cs="Times New Roman"/>
                <w:sz w:val="20"/>
                <w:szCs w:val="20"/>
                <w:lang w:val="en-US" w:eastAsia="zh-CN"/>
              </w:rPr>
              <w:t>或整改措施</w:t>
            </w:r>
            <w:r>
              <w:rPr>
                <w:rFonts w:hint="default" w:ascii="Times New Roman" w:hAnsi="Times New Roman" w:eastAsia="宋体" w:cs="Times New Roman"/>
                <w:sz w:val="20"/>
                <w:szCs w:val="20"/>
              </w:rPr>
              <w:t>的得</w:t>
            </w:r>
            <w:r>
              <w:rPr>
                <w:rFonts w:hint="default" w:ascii="Times New Roman" w:hAnsi="Times New Roman" w:eastAsia="宋体" w:cs="Times New Roman"/>
                <w:sz w:val="20"/>
                <w:szCs w:val="20"/>
                <w:lang w:val="en-US" w:eastAsia="zh-CN"/>
              </w:rPr>
              <w:t>15</w:t>
            </w:r>
            <w:r>
              <w:rPr>
                <w:rFonts w:hint="default" w:ascii="Times New Roman" w:hAnsi="Times New Roman" w:eastAsia="宋体" w:cs="Times New Roman"/>
                <w:sz w:val="20"/>
                <w:szCs w:val="20"/>
              </w:rPr>
              <w:t>分，其他情况酌情计分。</w:t>
            </w:r>
          </w:p>
        </w:tc>
        <w:tc>
          <w:tcPr>
            <w:tcW w:w="1059" w:type="dxa"/>
            <w:tcBorders>
              <w:top w:val="nil"/>
              <w:left w:val="nil"/>
              <w:bottom w:val="single" w:color="auto" w:sz="4" w:space="0"/>
              <w:right w:val="single" w:color="auto" w:sz="4" w:space="0"/>
            </w:tcBorders>
            <w:noWrap w:val="0"/>
            <w:vAlign w:val="center"/>
          </w:tcPr>
          <w:p>
            <w:pPr>
              <w:spacing w:after="0" w:line="240" w:lineRule="exact"/>
              <w:jc w:val="center"/>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12</w:t>
            </w:r>
          </w:p>
        </w:tc>
      </w:tr>
      <w:tr>
        <w:tblPrEx>
          <w:tblCellMar>
            <w:top w:w="0" w:type="dxa"/>
            <w:left w:w="108" w:type="dxa"/>
            <w:bottom w:w="0" w:type="dxa"/>
            <w:right w:w="108" w:type="dxa"/>
          </w:tblCellMar>
        </w:tblPrEx>
        <w:trPr>
          <w:trHeight w:val="669" w:hRule="atLeast"/>
          <w:jc w:val="center"/>
        </w:trPr>
        <w:tc>
          <w:tcPr>
            <w:tcW w:w="1089" w:type="dxa"/>
            <w:tcBorders>
              <w:top w:val="single" w:color="auto" w:sz="4" w:space="0"/>
              <w:left w:val="single" w:color="auto" w:sz="4" w:space="0"/>
              <w:bottom w:val="single" w:color="auto" w:sz="4" w:space="0"/>
              <w:right w:val="single" w:color="000000" w:sz="4" w:space="0"/>
            </w:tcBorders>
            <w:noWrap w:val="0"/>
            <w:vAlign w:val="center"/>
          </w:tcPr>
          <w:p>
            <w:pPr>
              <w:spacing w:after="0" w:line="240" w:lineRule="exact"/>
              <w:jc w:val="center"/>
              <w:rPr>
                <w:rFonts w:hint="default" w:ascii="Times New Roman" w:hAnsi="Times New Roman" w:eastAsia="宋体" w:cs="Times New Roman"/>
                <w:sz w:val="20"/>
                <w:szCs w:val="20"/>
                <w:lang w:val="en-US" w:eastAsia="zh-CN"/>
              </w:rPr>
            </w:pPr>
            <w:r>
              <w:rPr>
                <w:rFonts w:hint="default" w:ascii="Times New Roman" w:hAnsi="Times New Roman" w:eastAsia="宋体" w:cs="Times New Roman"/>
                <w:sz w:val="20"/>
                <w:szCs w:val="20"/>
              </w:rPr>
              <w:t>合</w:t>
            </w:r>
            <w:r>
              <w:rPr>
                <w:rFonts w:hint="default" w:ascii="Times New Roman" w:hAnsi="Times New Roman" w:eastAsia="宋体" w:cs="Times New Roman"/>
                <w:sz w:val="20"/>
                <w:szCs w:val="20"/>
                <w:lang w:val="en-US" w:eastAsia="zh-CN"/>
              </w:rPr>
              <w:t xml:space="preserve">  </w:t>
            </w:r>
            <w:r>
              <w:rPr>
                <w:rFonts w:hint="default" w:ascii="Times New Roman" w:hAnsi="Times New Roman" w:eastAsia="宋体" w:cs="Times New Roman"/>
                <w:sz w:val="20"/>
                <w:szCs w:val="20"/>
              </w:rPr>
              <w:t>计</w:t>
            </w:r>
            <w:r>
              <w:rPr>
                <w:rFonts w:hint="default" w:ascii="Times New Roman" w:hAnsi="Times New Roman" w:eastAsia="宋体" w:cs="Times New Roman"/>
                <w:sz w:val="20"/>
                <w:szCs w:val="20"/>
                <w:lang w:val="en-US" w:eastAsia="zh-CN"/>
              </w:rPr>
              <w:t xml:space="preserve"> </w:t>
            </w:r>
          </w:p>
        </w:tc>
        <w:tc>
          <w:tcPr>
            <w:tcW w:w="1460" w:type="dxa"/>
            <w:tcBorders>
              <w:top w:val="single" w:color="auto" w:sz="4" w:space="0"/>
              <w:left w:val="single" w:color="auto" w:sz="4" w:space="0"/>
              <w:bottom w:val="single" w:color="auto" w:sz="4" w:space="0"/>
              <w:right w:val="single" w:color="000000" w:sz="4" w:space="0"/>
            </w:tcBorders>
            <w:noWrap w:val="0"/>
            <w:vAlign w:val="center"/>
          </w:tcPr>
          <w:p>
            <w:pPr>
              <w:spacing w:after="0" w:line="240" w:lineRule="exact"/>
              <w:rPr>
                <w:rFonts w:hint="default" w:ascii="Times New Roman" w:hAnsi="Times New Roman" w:eastAsia="宋体" w:cs="Times New Roman"/>
                <w:sz w:val="20"/>
                <w:szCs w:val="20"/>
              </w:rPr>
            </w:pPr>
          </w:p>
        </w:tc>
        <w:tc>
          <w:tcPr>
            <w:tcW w:w="731" w:type="dxa"/>
            <w:tcBorders>
              <w:top w:val="single" w:color="auto" w:sz="4" w:space="0"/>
              <w:left w:val="single" w:color="auto" w:sz="4" w:space="0"/>
              <w:bottom w:val="single" w:color="auto" w:sz="4" w:space="0"/>
              <w:right w:val="single" w:color="000000" w:sz="4" w:space="0"/>
            </w:tcBorders>
            <w:noWrap w:val="0"/>
            <w:vAlign w:val="center"/>
          </w:tcPr>
          <w:p>
            <w:pPr>
              <w:spacing w:after="0" w:line="240" w:lineRule="exact"/>
              <w:jc w:val="center"/>
              <w:rPr>
                <w:rFonts w:hint="default"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eastAsia="zh-CN"/>
              </w:rPr>
              <w:t>100</w:t>
            </w:r>
          </w:p>
        </w:tc>
        <w:tc>
          <w:tcPr>
            <w:tcW w:w="4732" w:type="dxa"/>
            <w:tcBorders>
              <w:top w:val="single" w:color="auto" w:sz="4" w:space="0"/>
              <w:left w:val="single" w:color="auto" w:sz="4" w:space="0"/>
              <w:bottom w:val="single" w:color="auto" w:sz="4" w:space="0"/>
              <w:right w:val="single" w:color="000000" w:sz="4" w:space="0"/>
            </w:tcBorders>
            <w:noWrap w:val="0"/>
            <w:vAlign w:val="center"/>
          </w:tcPr>
          <w:p>
            <w:pPr>
              <w:spacing w:after="0" w:line="240" w:lineRule="exact"/>
              <w:rPr>
                <w:rFonts w:hint="default" w:ascii="Times New Roman" w:hAnsi="Times New Roman" w:eastAsia="宋体" w:cs="Times New Roman"/>
                <w:sz w:val="20"/>
                <w:szCs w:val="20"/>
              </w:rPr>
            </w:pPr>
          </w:p>
        </w:tc>
        <w:tc>
          <w:tcPr>
            <w:tcW w:w="1059"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91</w:t>
            </w:r>
          </w:p>
        </w:tc>
      </w:tr>
    </w:tbl>
    <w:p>
      <w:pPr>
        <w:pStyle w:val="5"/>
        <w:ind w:left="0" w:leftChars="0" w:firstLine="0" w:firstLineChars="0"/>
        <w:rPr>
          <w:rFonts w:hint="eastAsia" w:asciiTheme="minorHAnsi" w:hAnsiTheme="minorEastAsia" w:eastAsiaTheme="minorEastAsia"/>
          <w:kern w:val="10"/>
          <w:sz w:val="30"/>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_GBK">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5" o:spid="_x0000_s1025" o:spt="202" type="#_x0000_t202" style="position:absolute;left:0pt;margin-top:0pt;height:21.95pt;width:9.15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6"/>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20</w:t>
                </w:r>
                <w:r>
                  <w:rPr>
                    <w:rFonts w:ascii="Times New Roman" w:hAnsi="Times New Roma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I5NWM1NjYxZGQyMWJjNThmMGE3YmQwZGViNjkxZTAifQ=="/>
  </w:docVars>
  <w:rsids>
    <w:rsidRoot w:val="0064289F"/>
    <w:rsid w:val="00005600"/>
    <w:rsid w:val="000452FB"/>
    <w:rsid w:val="000510CC"/>
    <w:rsid w:val="000629AE"/>
    <w:rsid w:val="000715E3"/>
    <w:rsid w:val="000942B7"/>
    <w:rsid w:val="0009522F"/>
    <w:rsid w:val="000A1C2D"/>
    <w:rsid w:val="000B0361"/>
    <w:rsid w:val="000B1D50"/>
    <w:rsid w:val="000D6518"/>
    <w:rsid w:val="00125C64"/>
    <w:rsid w:val="00146F62"/>
    <w:rsid w:val="001774CE"/>
    <w:rsid w:val="00183A40"/>
    <w:rsid w:val="001A068A"/>
    <w:rsid w:val="001B4B24"/>
    <w:rsid w:val="00200978"/>
    <w:rsid w:val="00207013"/>
    <w:rsid w:val="002247E7"/>
    <w:rsid w:val="0022562D"/>
    <w:rsid w:val="002604D2"/>
    <w:rsid w:val="0026437E"/>
    <w:rsid w:val="0027187B"/>
    <w:rsid w:val="002C7C27"/>
    <w:rsid w:val="002D2905"/>
    <w:rsid w:val="002E1E5C"/>
    <w:rsid w:val="002E2706"/>
    <w:rsid w:val="003074BC"/>
    <w:rsid w:val="0031095F"/>
    <w:rsid w:val="00334508"/>
    <w:rsid w:val="003668AE"/>
    <w:rsid w:val="0037592E"/>
    <w:rsid w:val="00392E2B"/>
    <w:rsid w:val="00422C55"/>
    <w:rsid w:val="00435F50"/>
    <w:rsid w:val="00443305"/>
    <w:rsid w:val="00485B56"/>
    <w:rsid w:val="004978F3"/>
    <w:rsid w:val="004A339C"/>
    <w:rsid w:val="004C238F"/>
    <w:rsid w:val="004E5473"/>
    <w:rsid w:val="004F02B9"/>
    <w:rsid w:val="004F17B8"/>
    <w:rsid w:val="005167EE"/>
    <w:rsid w:val="0052449E"/>
    <w:rsid w:val="00546E4B"/>
    <w:rsid w:val="00547B30"/>
    <w:rsid w:val="00572AF1"/>
    <w:rsid w:val="00587B56"/>
    <w:rsid w:val="005D6D63"/>
    <w:rsid w:val="0061640D"/>
    <w:rsid w:val="006252F1"/>
    <w:rsid w:val="0064289F"/>
    <w:rsid w:val="0065145B"/>
    <w:rsid w:val="00653C8C"/>
    <w:rsid w:val="00677BCB"/>
    <w:rsid w:val="00696BDF"/>
    <w:rsid w:val="006C3916"/>
    <w:rsid w:val="006E0D6B"/>
    <w:rsid w:val="00734149"/>
    <w:rsid w:val="00760D88"/>
    <w:rsid w:val="0076196B"/>
    <w:rsid w:val="00770AA6"/>
    <w:rsid w:val="0078697E"/>
    <w:rsid w:val="00786D12"/>
    <w:rsid w:val="00792A01"/>
    <w:rsid w:val="007B00FF"/>
    <w:rsid w:val="007E49D9"/>
    <w:rsid w:val="0082049A"/>
    <w:rsid w:val="00825CDF"/>
    <w:rsid w:val="00833E15"/>
    <w:rsid w:val="00841EB9"/>
    <w:rsid w:val="0084599F"/>
    <w:rsid w:val="00854350"/>
    <w:rsid w:val="00874849"/>
    <w:rsid w:val="008843F3"/>
    <w:rsid w:val="008B74C8"/>
    <w:rsid w:val="008C5F3D"/>
    <w:rsid w:val="008E527C"/>
    <w:rsid w:val="0093725C"/>
    <w:rsid w:val="00943E2F"/>
    <w:rsid w:val="009455B0"/>
    <w:rsid w:val="0098092B"/>
    <w:rsid w:val="00991699"/>
    <w:rsid w:val="00991816"/>
    <w:rsid w:val="009A6BE0"/>
    <w:rsid w:val="009B5E84"/>
    <w:rsid w:val="009B629D"/>
    <w:rsid w:val="009B6755"/>
    <w:rsid w:val="00A02757"/>
    <w:rsid w:val="00A12509"/>
    <w:rsid w:val="00A14573"/>
    <w:rsid w:val="00AB553F"/>
    <w:rsid w:val="00AF2932"/>
    <w:rsid w:val="00AF2F6F"/>
    <w:rsid w:val="00B26EC1"/>
    <w:rsid w:val="00B40DCF"/>
    <w:rsid w:val="00B657B0"/>
    <w:rsid w:val="00B734A6"/>
    <w:rsid w:val="00B85CBD"/>
    <w:rsid w:val="00B85DAB"/>
    <w:rsid w:val="00BA7982"/>
    <w:rsid w:val="00BB67C4"/>
    <w:rsid w:val="00BB710B"/>
    <w:rsid w:val="00BD7F5C"/>
    <w:rsid w:val="00C1491E"/>
    <w:rsid w:val="00C25E4A"/>
    <w:rsid w:val="00C82AAC"/>
    <w:rsid w:val="00C97E54"/>
    <w:rsid w:val="00CC0742"/>
    <w:rsid w:val="00CD6319"/>
    <w:rsid w:val="00CF74FC"/>
    <w:rsid w:val="00D6609F"/>
    <w:rsid w:val="00D7679E"/>
    <w:rsid w:val="00D7782E"/>
    <w:rsid w:val="00D90F52"/>
    <w:rsid w:val="00D91313"/>
    <w:rsid w:val="00DB28D6"/>
    <w:rsid w:val="00DB7A69"/>
    <w:rsid w:val="00E0152E"/>
    <w:rsid w:val="00E15340"/>
    <w:rsid w:val="00E15534"/>
    <w:rsid w:val="00E2662E"/>
    <w:rsid w:val="00E6092D"/>
    <w:rsid w:val="00E67028"/>
    <w:rsid w:val="00EB163A"/>
    <w:rsid w:val="00EC506F"/>
    <w:rsid w:val="00ED7F29"/>
    <w:rsid w:val="00F34AEB"/>
    <w:rsid w:val="00F402BD"/>
    <w:rsid w:val="00F513BA"/>
    <w:rsid w:val="00F5546E"/>
    <w:rsid w:val="00F81BBA"/>
    <w:rsid w:val="00F86B41"/>
    <w:rsid w:val="00FC72ED"/>
    <w:rsid w:val="00FE6147"/>
    <w:rsid w:val="00FE7361"/>
    <w:rsid w:val="00FF177B"/>
    <w:rsid w:val="01C73C8F"/>
    <w:rsid w:val="09011381"/>
    <w:rsid w:val="0A7809B7"/>
    <w:rsid w:val="0AC10861"/>
    <w:rsid w:val="0C87609C"/>
    <w:rsid w:val="0CE65416"/>
    <w:rsid w:val="0D5E3553"/>
    <w:rsid w:val="0DAD4E1B"/>
    <w:rsid w:val="0F130A0E"/>
    <w:rsid w:val="0F361D99"/>
    <w:rsid w:val="10DD6D2D"/>
    <w:rsid w:val="11712A15"/>
    <w:rsid w:val="13303F79"/>
    <w:rsid w:val="137201D6"/>
    <w:rsid w:val="14661C91"/>
    <w:rsid w:val="173F41C8"/>
    <w:rsid w:val="19486C5B"/>
    <w:rsid w:val="1BC1062B"/>
    <w:rsid w:val="203458FD"/>
    <w:rsid w:val="20E830D9"/>
    <w:rsid w:val="2294546A"/>
    <w:rsid w:val="24E46F1D"/>
    <w:rsid w:val="259D2A0B"/>
    <w:rsid w:val="288D2522"/>
    <w:rsid w:val="2B0C6360"/>
    <w:rsid w:val="2B494439"/>
    <w:rsid w:val="2BA3408F"/>
    <w:rsid w:val="2BA635C5"/>
    <w:rsid w:val="2C026D7A"/>
    <w:rsid w:val="2C4C2712"/>
    <w:rsid w:val="2E424564"/>
    <w:rsid w:val="2E7B3D22"/>
    <w:rsid w:val="31554C66"/>
    <w:rsid w:val="33560D41"/>
    <w:rsid w:val="33811DDB"/>
    <w:rsid w:val="34AC78AD"/>
    <w:rsid w:val="364B66BE"/>
    <w:rsid w:val="3CE22901"/>
    <w:rsid w:val="3E5E75AA"/>
    <w:rsid w:val="411E510D"/>
    <w:rsid w:val="44BB0F1A"/>
    <w:rsid w:val="49B63718"/>
    <w:rsid w:val="4AFA5C0B"/>
    <w:rsid w:val="4CE83CD9"/>
    <w:rsid w:val="4D6B4B5C"/>
    <w:rsid w:val="4E4053B8"/>
    <w:rsid w:val="4EA279B9"/>
    <w:rsid w:val="4EE64561"/>
    <w:rsid w:val="4EEF5B9B"/>
    <w:rsid w:val="4F525484"/>
    <w:rsid w:val="516766FF"/>
    <w:rsid w:val="51BA2B77"/>
    <w:rsid w:val="551221F2"/>
    <w:rsid w:val="570010B8"/>
    <w:rsid w:val="59F803A7"/>
    <w:rsid w:val="5AA712C1"/>
    <w:rsid w:val="5AFD4D32"/>
    <w:rsid w:val="5B890176"/>
    <w:rsid w:val="5BB75528"/>
    <w:rsid w:val="5BF337DB"/>
    <w:rsid w:val="5C157045"/>
    <w:rsid w:val="5DA84B22"/>
    <w:rsid w:val="5F031124"/>
    <w:rsid w:val="5FD91B51"/>
    <w:rsid w:val="62E179C1"/>
    <w:rsid w:val="63D4385D"/>
    <w:rsid w:val="6C636722"/>
    <w:rsid w:val="6CC87DD9"/>
    <w:rsid w:val="6D7D738A"/>
    <w:rsid w:val="6E6F69F5"/>
    <w:rsid w:val="6EA4499D"/>
    <w:rsid w:val="71A45BA9"/>
    <w:rsid w:val="72856608"/>
    <w:rsid w:val="72C67374"/>
    <w:rsid w:val="72FD443D"/>
    <w:rsid w:val="74257C53"/>
    <w:rsid w:val="792F2321"/>
    <w:rsid w:val="7A0F116D"/>
    <w:rsid w:val="7A411B9B"/>
    <w:rsid w:val="7A525B52"/>
    <w:rsid w:val="7C1C39C5"/>
    <w:rsid w:val="7F65758F"/>
    <w:rsid w:val="7FEB5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qFormat="1" w:uiPriority="99"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Block Text"/>
    <w:basedOn w:val="1"/>
    <w:unhideWhenUsed/>
    <w:qFormat/>
    <w:uiPriority w:val="99"/>
    <w:pPr>
      <w:spacing w:after="120"/>
      <w:ind w:left="1440" w:leftChars="700" w:right="1440" w:rightChars="700"/>
    </w:pPr>
  </w:style>
  <w:style w:type="paragraph" w:styleId="5">
    <w:name w:val="Body Text Indent 2"/>
    <w:basedOn w:val="1"/>
    <w:link w:val="17"/>
    <w:unhideWhenUsed/>
    <w:qFormat/>
    <w:uiPriority w:val="99"/>
    <w:pPr>
      <w:spacing w:after="120" w:line="480" w:lineRule="auto"/>
      <w:ind w:left="420" w:leftChars="200"/>
    </w:pPr>
  </w:style>
  <w:style w:type="paragraph" w:styleId="6">
    <w:name w:val="footer"/>
    <w:basedOn w:val="1"/>
    <w:link w:val="12"/>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qFormat/>
    <w:uiPriority w:val="0"/>
    <w:pPr>
      <w:jc w:val="left"/>
    </w:pPr>
    <w:rPr>
      <w:rFonts w:ascii="微软雅黑" w:hAnsi="微软雅黑" w:eastAsia="微软雅黑" w:cstheme="minorBidi"/>
      <w:color w:val="4C4C4C"/>
      <w:kern w:val="0"/>
      <w:szCs w:val="21"/>
    </w:rPr>
  </w:style>
  <w:style w:type="character" w:customStyle="1" w:styleId="11">
    <w:name w:val="页眉 Char"/>
    <w:basedOn w:val="10"/>
    <w:link w:val="7"/>
    <w:semiHidden/>
    <w:qFormat/>
    <w:uiPriority w:val="99"/>
    <w:rPr>
      <w:sz w:val="18"/>
      <w:szCs w:val="18"/>
    </w:rPr>
  </w:style>
  <w:style w:type="character" w:customStyle="1" w:styleId="12">
    <w:name w:val="页脚 Char"/>
    <w:basedOn w:val="10"/>
    <w:link w:val="6"/>
    <w:semiHidden/>
    <w:qFormat/>
    <w:uiPriority w:val="99"/>
    <w:rPr>
      <w:sz w:val="18"/>
      <w:szCs w:val="18"/>
    </w:rPr>
  </w:style>
  <w:style w:type="character" w:customStyle="1" w:styleId="13">
    <w:name w:val="font51"/>
    <w:basedOn w:val="10"/>
    <w:qFormat/>
    <w:uiPriority w:val="0"/>
    <w:rPr>
      <w:rFonts w:hint="eastAsia" w:ascii="宋体" w:hAnsi="宋体" w:eastAsia="宋体" w:cs="宋体"/>
      <w:color w:val="000000"/>
      <w:sz w:val="22"/>
      <w:szCs w:val="22"/>
      <w:u w:val="none"/>
    </w:rPr>
  </w:style>
  <w:style w:type="character" w:customStyle="1" w:styleId="14">
    <w:name w:val="font61"/>
    <w:basedOn w:val="10"/>
    <w:qFormat/>
    <w:uiPriority w:val="0"/>
    <w:rPr>
      <w:rFonts w:hint="eastAsia" w:ascii="黑体" w:eastAsia="黑体" w:cs="黑体"/>
      <w:color w:val="000000"/>
      <w:sz w:val="22"/>
      <w:szCs w:val="22"/>
      <w:u w:val="none"/>
    </w:rPr>
  </w:style>
  <w:style w:type="character" w:customStyle="1" w:styleId="15">
    <w:name w:val="font112"/>
    <w:basedOn w:val="10"/>
    <w:qFormat/>
    <w:uiPriority w:val="0"/>
    <w:rPr>
      <w:rFonts w:hint="eastAsia" w:ascii="宋体" w:hAnsi="宋体" w:eastAsia="宋体" w:cs="宋体"/>
      <w:b/>
      <w:bCs/>
      <w:color w:val="000000"/>
      <w:sz w:val="32"/>
      <w:szCs w:val="32"/>
      <w:u w:val="none"/>
    </w:rPr>
  </w:style>
  <w:style w:type="paragraph" w:styleId="16">
    <w:name w:val="List Paragraph"/>
    <w:basedOn w:val="1"/>
    <w:qFormat/>
    <w:uiPriority w:val="99"/>
    <w:pPr>
      <w:ind w:firstLine="420" w:firstLineChars="200"/>
    </w:pPr>
    <w:rPr>
      <w:szCs w:val="22"/>
    </w:rPr>
  </w:style>
  <w:style w:type="character" w:customStyle="1" w:styleId="17">
    <w:name w:val="正文文本缩进 2 Char"/>
    <w:basedOn w:val="10"/>
    <w:link w:val="5"/>
    <w:qFormat/>
    <w:uiPriority w:val="99"/>
    <w:rPr>
      <w:rFonts w:ascii="Calibri" w:hAnsi="Calibri" w:eastAsia="宋体" w:cs="Times New Roman"/>
      <w:szCs w:val="24"/>
    </w:rPr>
  </w:style>
  <w:style w:type="paragraph" w:customStyle="1" w:styleId="18">
    <w:name w:val="正文文本1"/>
    <w:basedOn w:val="1"/>
    <w:qFormat/>
    <w:uiPriority w:val="0"/>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8EBB4C-B7FC-4746-ADAE-390BBAB87A0C}">
  <ds:schemaRefs/>
</ds:datastoreItem>
</file>

<file path=docProps/app.xml><?xml version="1.0" encoding="utf-8"?>
<Properties xmlns="http://schemas.openxmlformats.org/officeDocument/2006/extended-properties" xmlns:vt="http://schemas.openxmlformats.org/officeDocument/2006/docPropsVTypes">
  <Template>Normal</Template>
  <Pages>12</Pages>
  <Words>6034</Words>
  <Characters>6369</Characters>
  <Lines>86</Lines>
  <Paragraphs>24</Paragraphs>
  <TotalTime>11</TotalTime>
  <ScaleCrop>false</ScaleCrop>
  <LinksUpToDate>false</LinksUpToDate>
  <CharactersWithSpaces>6472</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2022-03-15T02:26:00Z</dcterms:created>
  <dc:creator>admin</dc:creator>
  <cp:lastModifiedBy>刘宁</cp:lastModifiedBy>
  <cp:lastPrinted>2022-03-24T06:15:00Z</cp:lastPrinted>
  <dcterms:modified xsi:type="dcterms:W3CDTF">2023-07-03T08:31:37Z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76BD8B4BE0C44D22B47B788D722D93B1</vt:lpwstr>
  </property>
</Properties>
</file>