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/>
        <w:spacing w:line="70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</w:rPr>
      </w:pPr>
    </w:p>
    <w:p>
      <w:pPr>
        <w:pStyle w:val="4"/>
        <w:shd w:val="clear"/>
        <w:spacing w:line="70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  <w:lang w:eastAsia="zh-CN"/>
        </w:rPr>
        <w:t>东湖街道办事处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</w:rPr>
        <w:t>2019年度部门</w:t>
      </w:r>
    </w:p>
    <w:p>
      <w:pPr>
        <w:pStyle w:val="4"/>
        <w:shd w:val="clear"/>
        <w:spacing w:line="70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</w:rPr>
        <w:t>整体支出绩效评价报告</w:t>
      </w:r>
    </w:p>
    <w:p>
      <w:pPr>
        <w:shd w:val="clear"/>
        <w:spacing w:line="572" w:lineRule="exact"/>
        <w:jc w:val="both"/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shd w:val="clear"/>
        <w:spacing w:line="572" w:lineRule="exact"/>
        <w:ind w:firstLine="640" w:firstLineChars="200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一、部门概况</w:t>
      </w:r>
    </w:p>
    <w:p>
      <w:pPr>
        <w:shd w:val="clear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1、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机构设置：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根据编办核定，东湖街道机关本级，内设机构6个，分别是：党政综合办、财政所、基层党建办、城市管理办、公共服务办（行政审批服务办）、公共安全办；二级机构3个，分别是：街道政务服务中心（街道党群服务中心）、街道网格化综合服务中心、街道退役军人服务站；7个基层群众性自治组织：东湖村、合平新村社区、姚托湾社区、东沙社区、龙马社区、韶光社区、滨湖社区。</w:t>
      </w:r>
    </w:p>
    <w:p>
      <w:pPr>
        <w:shd w:val="clear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2、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人员情况：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根据编办核定，东湖街道编制数为50个（行政制13人，事业编37人）。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201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9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年底，单位实有人数169人，其中：行政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人员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13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，参公事业编人员2人，事业编31人，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财政补助人员（政府雇员、公益性岗位人员）123人。</w:t>
      </w:r>
    </w:p>
    <w:p>
      <w:pPr>
        <w:shd w:val="clear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3、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主要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职能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：</w:t>
      </w:r>
    </w:p>
    <w:p>
      <w:pPr>
        <w:shd w:val="clear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（1）加强党的建设。落实基层党建工作责任制，统筹街道和社区区域化党建，加强非公有制经济组织和社会组织党建工作，实现党的组织和工作全覆盖。不断提高党的建设质量，落实管党治党责任，推动全面从严治党向基层延伸。</w:t>
      </w:r>
    </w:p>
    <w:p>
      <w:pPr>
        <w:shd w:val="clear"/>
        <w:spacing w:line="600" w:lineRule="exact"/>
        <w:ind w:firstLine="480" w:firstLineChars="15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（2）统筹区域发展。统筹落实市、区关于辖区发展的重大决策和建设规划，负责优化发展环境、采集企业信息、服务辖区企业、促进项目发展等工作。</w:t>
      </w:r>
    </w:p>
    <w:p>
      <w:pPr>
        <w:shd w:val="clear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（3）组织公共服务。组织实施与居民生活密切相关的各项公共服务事项，落实人力资源社会保障、民政、教育、科技、文化、体育、卫生健康等领域相关法规政策。</w:t>
      </w:r>
    </w:p>
    <w:p>
      <w:pPr>
        <w:shd w:val="clear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（4）实施公共管理。负责辖区内城市管理等综合性管理工作，承担组织领导和综合协调职能。</w:t>
      </w:r>
    </w:p>
    <w:p>
      <w:pPr>
        <w:shd w:val="clear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（5）维护公共安全。承担辖区内社会治安综合治理、应急管理等有关工作，接待群众来信来访，反映社情民意，化解矛盾纠纷等。</w:t>
      </w:r>
    </w:p>
    <w:p>
      <w:pPr>
        <w:shd w:val="clear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（6）监督执法管理。对辖区内各类行政执法工作进行统筹协调，组织开展群众监督和社会监督。</w:t>
      </w:r>
    </w:p>
    <w:p>
      <w:pPr>
        <w:shd w:val="clear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（7）动员社会参与。动员辖区内各类单位、社会组织、社区居民等社会力量参与社会治理，为街道发展服务。</w:t>
      </w:r>
    </w:p>
    <w:p>
      <w:pPr>
        <w:shd w:val="clear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（8）保障社区自治。指导社区居委会建设，健全社区自治平台，组织驻区单位和社区居民参与社区建设、管理。</w:t>
      </w:r>
    </w:p>
    <w:p>
      <w:pPr>
        <w:shd w:val="clear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（9）完成区委、区政府交办的其他工作。</w:t>
      </w:r>
    </w:p>
    <w:p>
      <w:pPr>
        <w:shd w:val="clear"/>
        <w:spacing w:line="572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（二）部门年度预算收支余情况、部门整体支出使用方向和主要内容、涉及范围等。</w:t>
      </w:r>
    </w:p>
    <w:p>
      <w:pPr>
        <w:shd w:val="clear"/>
        <w:spacing w:line="572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本年度年初预算为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4389.59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万元，根据预算调整后，年末总收入决算数为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8698.92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万元，（年初结转结余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1902.89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万元，当年财政拨款收入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5871.29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万元，其他收入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924.74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万元。）</w:t>
      </w:r>
    </w:p>
    <w:p>
      <w:pPr>
        <w:shd w:val="clear"/>
        <w:spacing w:line="572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全年支出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7502.23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万元，其中基本支出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2178.06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万元，项目支出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5324.17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万元，结转结余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1196.69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万元（其中财政拨款结转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920.32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万元，其他资金结转结余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276.38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万元）。</w:t>
      </w:r>
    </w:p>
    <w:p>
      <w:pPr>
        <w:shd w:val="clear"/>
        <w:spacing w:line="572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我街道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整体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支出主要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用于基本支出和项目支出。一是基本支出，主要用于人员经费和日常公用经费，其中：人员经费包括：基本工资 、津补贴、奖金、社会保险缴费等；日常公用经费包括：办公费、水费、电费、印刷费、培训费、会议费、劳务费、其他商品和服务支出及办公设备购置费等；二 是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项目支出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主要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用于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环卫经费、城乡社区管理事务支出经费、社区经费、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社区惠民、社区党建、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公安专项经费、对村民委员会和村党支部的补助支出以及综合项目经费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其他资金项目经费（城管整治、文明创建、拆迁项目专项资金、文化、科技、综治维稳、计生、安监、工程项目、计生、食安、安监）等等。</w:t>
      </w:r>
    </w:p>
    <w:p>
      <w:pPr>
        <w:shd w:val="clear"/>
        <w:spacing w:line="572" w:lineRule="exact"/>
        <w:ind w:firstLine="640" w:firstLineChars="200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二、部门整体支出管理及使用情况</w:t>
      </w:r>
    </w:p>
    <w:p>
      <w:pPr>
        <w:shd w:val="clear"/>
        <w:adjustRightInd w:val="0"/>
        <w:snapToGrid w:val="0"/>
        <w:spacing w:line="572" w:lineRule="exact"/>
        <w:ind w:firstLine="643" w:firstLineChars="200"/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highlight w:val="none"/>
          <w:shd w:val="clear" w:color="auto" w:fill="auto"/>
        </w:rPr>
        <w:t>（一）基本支出</w:t>
      </w:r>
    </w:p>
    <w:p>
      <w:pPr>
        <w:shd w:val="clear"/>
        <w:adjustRightInd w:val="0"/>
        <w:snapToGrid w:val="0"/>
        <w:spacing w:line="572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201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年街道的基本支出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2178.06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是指为保障单位机构正常运转、完成日常工作任务而发生的各项支出， 包括用于基本工资、津贴补贴等人员经费以及办公费、印刷费、水电费、办公设备购置等日常公用经费。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其中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工资福利支出1900.14万元，占基本支出的87.24%，商品和服务支出149.03万元，占基本支出的6.84%，对个人和家庭的其他补助120.11万元，占基本支出的5.51%，其他资本性支出5.28万元,占基本支出的0.24%，其他支出3.49万元，占基本支出的0.16%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201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年初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“三公”经费财政拨款支出预算为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万元，支出决算数为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万元，完成预算的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。在支出管理方面，我们坚决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贯彻落实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党政机关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厉行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节约工作的有关精神，严格执行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中央八项规定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要求，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严格控制单位行政运行基本支出，特别是“三公”经费的管理，改进文风会风，加强经费及资产管理，有效地降低了行政成本。</w:t>
      </w:r>
    </w:p>
    <w:p>
      <w:pPr>
        <w:shd w:val="clear"/>
        <w:adjustRightInd w:val="0"/>
        <w:snapToGrid w:val="0"/>
        <w:spacing w:line="572" w:lineRule="exact"/>
        <w:ind w:firstLine="643" w:firstLineChars="200"/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highlight w:val="none"/>
          <w:shd w:val="clear" w:color="auto" w:fill="auto"/>
        </w:rPr>
        <w:t>（二）项目支出</w:t>
      </w:r>
    </w:p>
    <w:p>
      <w:pPr>
        <w:shd w:val="clear"/>
        <w:adjustRightInd w:val="0"/>
        <w:snapToGrid w:val="0"/>
        <w:spacing w:line="572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1、项目资金（包括财政资金、自筹资金等）安排落实、总投入等情况分析。</w:t>
      </w:r>
    </w:p>
    <w:p>
      <w:pPr>
        <w:shd w:val="clear"/>
        <w:adjustRightInd w:val="0"/>
        <w:snapToGrid w:val="0"/>
        <w:spacing w:line="572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2019年年初预算数为2534.55万元，是指单位为完成特定行政工作任务或事业发展目标而发生的支出，包括有关事业发展专项、专项业务费、基本建设支出、专用设备采购等。其中：校园周边环境整治专项50万元，主要用于农大校园周边环境整治各项费用支出；环卫经费专项765.91万元，主要用于街道环卫所临聘人员工资福利、保险，办公经费、专用材料购置及设施维护费等方面；综合项目经费（含党建、人大、政协、公安、工青妇等条线经费）专项200万元，主要用于党建、人大、政协、纪检、公安、城市管理、文明创建、综治维稳等支出；社区惠民专项120万元，主要用于社区服务设施、小区环境整治及文体公益活动等。社区党建、社区教育等工作经费120万元，主要用于社区直管党员学习、活动及阵地经费、党员档案规范化管理经费及社区教育等。两保及社区专职人员经费678.92万元，主要用于两保及社区员额制人员工资福利等支出。社区戒毒工作经费7.42万元，主要用于国际禁毒日宣传、禁毒宣传、社区戒毒康复费用。村直通车经费10万元，主要用于解决村民群众最直接、最关心、最现实的各类民生问题等。村级组织服务群众专项经费5万元，主要用于服务群众工作经费。党建等村经费55万元，主要用于对村民委员会和村党支部的补助等。综合预算502.8万元，主要用于弥补各社区的工作经费不足。城管中队工作经费19.5万元，主要用于城管中队办公费及其他商品服务性支出。</w:t>
      </w:r>
    </w:p>
    <w:p>
      <w:pPr>
        <w:shd w:val="clear"/>
        <w:adjustRightInd w:val="0"/>
        <w:snapToGrid w:val="0"/>
        <w:spacing w:line="572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2、项目资金（主要指财政资金）实际使用情况分析。</w:t>
      </w:r>
    </w:p>
    <w:p>
      <w:pPr>
        <w:widowControl/>
        <w:shd w:val="clear" w:color="auto"/>
        <w:spacing w:line="360" w:lineRule="atLeast"/>
        <w:ind w:firstLine="640" w:firstLineChars="200"/>
        <w:jc w:val="left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我街道2019年度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项目支出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5324.17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是指单位为完成特定行政工作任务或事业发展目标而发生的支出，包括有关事业发展专项、专项业务费、基本建设支出、专用设备采购等。其中：（1）人大专项经费2万元，占项目支出的0.04%；（2）信访维稳118万元，占项目支出的2.22%；（3）经济专项经费29.83万元，占项目支出的0.56%；（4）财源建设绩效考核奖励6万元，占项目支出的0.11%；（5）党建专项经费27.18万元，占项目支出的0.51%；（6）武装工作经费5.03万元，占项目支出的0.09%；（7）社区戒毒工作经费8.82万元，占项目支出的0.17%；（8）柳子明故居111.49万元，占项目支出的2.09%；（9）两保及社区专职人员经费178.54万元，占项目支出的3.35%；（10）工程项目经费54万元，占项目支出的1.01%；（11）社区经费（含党建、惠民）716.88万元，占项目支出的13.46%；（12）民政春节慰问费64.35万元，占项目支出的1.21%；（13）退役军人服务中心工作经费16.33万元，占项目支出的0.31%；（14）五帮扶活动1.43万元，占项目支出的0.03%；（15）爱卫大扫除经费20万元，占项目支出的0.38%；（16）围山圳黑臭水体综合治理工程14万元，占项目支出的0.39%；（17）综合项目经费225.99万元，占项目支出的4.24%；（18）校园周边环境整治专项50万元，占项目支出的0.94%；（19）工程项目经费965.50万元，占项目支出的18.13%；（20）垃圾分类工作经费20万元，占项目支出的0.38%；（21）韶光变电工程项目118.40万元，占项目支出的2.22%；（22）新农村建设专项经费10万元，占项目支出的0.19%；（23）城乡环境整治工作经费0.45万元，占项目支出的0.01%；（24）环卫经费及垃圾分类工作经费669.44万元，占项目支出的12.57%；（25）部门综合预算378.28万元，占项目支出的10.73%；（26）河长制经费18.14万元，占项目支出的0.51%；（27）抗洪救灾经费4.26万元，占项目支出的0.12%；（28）农村水利基础设施建设经费97.31万元，占项目支出的1.83%；（29）村级经费70.72万元，占项目支出的1.33%；（30）安全生产2万元，占项目支出的0.04%；（31）各条线项目经费1319.81万元，占项目支出的24.79%。</w:t>
      </w:r>
    </w:p>
    <w:p>
      <w:pPr>
        <w:shd w:val="clear"/>
        <w:adjustRightInd w:val="0"/>
        <w:snapToGrid w:val="0"/>
        <w:spacing w:line="572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3、项目资金管理情况分析，主要包括管理制度、办法的制订及执行情况。</w:t>
      </w:r>
    </w:p>
    <w:p>
      <w:pPr>
        <w:shd w:val="clear"/>
        <w:adjustRightInd w:val="0"/>
        <w:snapToGrid w:val="0"/>
        <w:spacing w:line="572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我街道根据国家相关法规的规定，结合单位实际，明确了人员分工及工作职责，建立健全机关管理制度，实行制度管人、管事、管权。进一步完善了财务管理制度，制定了《东湖街道财务管理办法》《内部财务管理控制制度》等规章制度，对资金、物资进行管理和使用;严格按照财经纪律规范和使用财政资金，做到资金的使用均有完整的审批程序，并实行专人管理、转账核算、专款专用原则，使财政收支预算执行取到良好的实施效果。</w:t>
      </w:r>
    </w:p>
    <w:p>
      <w:pPr>
        <w:shd w:val="clear"/>
        <w:spacing w:line="572" w:lineRule="exact"/>
        <w:ind w:firstLine="640" w:firstLineChars="200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highlight w:val="none"/>
          <w:shd w:val="clear" w:color="auto" w:fill="auto"/>
        </w:rPr>
        <w:t>三、部门项目组织实施情况</w:t>
      </w:r>
    </w:p>
    <w:p>
      <w:pPr>
        <w:widowControl/>
        <w:shd w:val="clear" w:color="auto"/>
        <w:spacing w:line="360" w:lineRule="atLeast"/>
        <w:ind w:firstLine="640" w:firstLineChars="200"/>
        <w:jc w:val="left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我街道严格落实上级项目管理制度，建立健全项目建设工作的领导、组织机构，项目建设工作由党政班子会议集体研究决定，由分管领导具体负责实施。项目招投标按照招投标管理办法进行公开招投标，实行公开、公平竞争。财政资金管理遵循专款专用原则，严格按照财政局经建科批准的金额支付工程款。对已具备竣工验收条件的项目，及时组织验收、移交使用，及时编报竣工财务决算。同时加强对项目的监督管理，采取事前、事中、事后相结合，日常监督和专项监督相结合的方式，对项目财务行为实施全过程监督管理。</w:t>
      </w:r>
    </w:p>
    <w:p>
      <w:pPr>
        <w:shd w:val="clear"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  <w:t>四、资产管理情况</w:t>
      </w:r>
    </w:p>
    <w:p>
      <w:pPr>
        <w:widowControl/>
        <w:shd w:val="clear" w:color="auto"/>
        <w:spacing w:line="360" w:lineRule="atLeast"/>
        <w:ind w:firstLine="640" w:firstLineChars="200"/>
        <w:jc w:val="left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我街道制定了详细的资产管理办法，对资产申购、采购、分配、保管、处置以及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责任赔偿等细则进行规定，资产配置按照“合法依规、保障需要、节约开支、从严控制、调剂优先、共享共用”的原则，严格执行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《内部财务管理控制制度》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有关规定，并完善了资产申购审批程序，确定了购置标准。凡是符合政府采购要求的资产及物品均按政府采购程序进行采购，擅自采购的单位不予任何费用。同时，加强资产的管理，组织各办定期对所属的固定资产进行清理，明确相应的责任人。街道明确专人负责固定资产管理，2019年对全街道的固定资产进行一次全面清理，按财政规定的程序报批核销报废资产10.07万元。</w:t>
      </w:r>
    </w:p>
    <w:p>
      <w:pPr>
        <w:shd w:val="clear"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  <w:t>五、部门整体支出绩效情况</w:t>
      </w:r>
    </w:p>
    <w:p>
      <w:pPr>
        <w:widowControl/>
        <w:shd w:val="clear" w:color="auto"/>
        <w:spacing w:line="360" w:lineRule="atLeast"/>
        <w:ind w:firstLine="480" w:firstLineChars="150"/>
        <w:jc w:val="left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（一）经济性评价</w:t>
      </w:r>
    </w:p>
    <w:p>
      <w:pPr>
        <w:widowControl/>
        <w:shd w:val="clear" w:color="auto"/>
        <w:spacing w:line="360" w:lineRule="atLeast"/>
        <w:jc w:val="left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　　201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年我街道整体支出按照区财政局下达的预算批复，严格控制预算支出，不断强化管理，严格执行了预决算公开。对于基本支出中的工资福利支出、对个人和家庭补助支出按照实际在编人员及进度均衡支付；对于商品及服务支出（日常公用经费）按照下达的预算执行，实现内部报告审批制度，实时监控支出情况；对于项目支出的经费使用情况进行监督检查，超过金额规定的采购支出均过政府采购流程。本年我街道充分节约使用经费，基本支出较好地控制在预算额度内。</w:t>
      </w:r>
    </w:p>
    <w:p>
      <w:pPr>
        <w:widowControl/>
        <w:shd w:val="clear" w:color="auto"/>
        <w:spacing w:line="360" w:lineRule="atLeast"/>
        <w:jc w:val="left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　　（二）行政效能评价</w:t>
      </w:r>
    </w:p>
    <w:p>
      <w:pPr>
        <w:widowControl/>
        <w:shd w:val="clear" w:color="auto"/>
        <w:spacing w:line="360" w:lineRule="atLeast"/>
        <w:jc w:val="left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　　为强化部门整体支出，加强国有资产管理，提高资金使用效益，提升财务管理，建立节约型机关，201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年我街道在强化业务管理、财务管理和厉行节约方面开展了大量工作，行政效能显著。</w:t>
      </w:r>
    </w:p>
    <w:p>
      <w:pPr>
        <w:widowControl/>
        <w:shd w:val="clear" w:color="auto"/>
        <w:spacing w:line="360" w:lineRule="atLeast"/>
        <w:jc w:val="left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　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、严格执行国库集中支付、公务卡结算制度、政府采购等有关规定，政府采购目录内的货物与服务全部按要求实施了政府采购，确保了支出管理流程、审批手续的完整。</w:t>
      </w:r>
    </w:p>
    <w:p>
      <w:pPr>
        <w:widowControl/>
        <w:shd w:val="clear" w:color="auto"/>
        <w:spacing w:line="360" w:lineRule="atLeast"/>
        <w:ind w:firstLine="640" w:firstLineChars="200"/>
        <w:jc w:val="left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、强化资金使用的监督管理及预算管理。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一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是规范安全生产培训、宣传、专家咨询活动，严格办公用房管理等，控制办公经费开支；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是严格财务管理，严格财务的审核把关，对各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办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实行经费支出限额管理，严控经费支出，落实项目资金专款专用。</w:t>
      </w:r>
    </w:p>
    <w:p>
      <w:pPr>
        <w:widowControl/>
        <w:shd w:val="clear" w:color="auto"/>
        <w:spacing w:line="360" w:lineRule="atLeast"/>
        <w:ind w:firstLine="375"/>
        <w:jc w:val="left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）项目产出及社会效益评价</w:t>
      </w:r>
    </w:p>
    <w:p>
      <w:pPr>
        <w:widowControl/>
        <w:shd w:val="clear" w:color="auto"/>
        <w:spacing w:line="360" w:lineRule="atLeast"/>
        <w:ind w:firstLine="640" w:firstLineChars="200"/>
        <w:jc w:val="left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一是党建引领基层治理。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坚持抓基层打基础、抓载体求创新、抓重点强实效，突出党建引领作用。构建“红心润东湖”党建联盟，打造“袁隆平院士”主题党课，获得全市宣讲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第一名。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利用主题教育契机，活阵地、创载体，滨湖社区常态学习经验得到中央电视台新闻联播报道。贯彻落实意识形态责任制，扎实开展党风廉政建设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全面增强基层党建引领力。</w:t>
      </w:r>
    </w:p>
    <w:p>
      <w:pPr>
        <w:widowControl/>
        <w:shd w:val="clear" w:color="auto"/>
        <w:spacing w:line="360" w:lineRule="atLeast"/>
        <w:ind w:firstLine="640" w:firstLineChars="200"/>
        <w:jc w:val="left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二是经济建设稳中有进。全年各项经济指标达标顺利完成，稳步攀升。有力推动项目建设，完成韶光变电站、隆平生物种业产业园项目扫尾清表等工作；启动省农科院农业科研成果推广中心项目，做好农科院79亩地项目推进服务工作；启动长沙人寿堂养老公寓项目；协助完成生物机电大王岭项目拆迁。</w:t>
      </w:r>
    </w:p>
    <w:p>
      <w:pPr>
        <w:widowControl/>
        <w:shd w:val="clear" w:color="auto"/>
        <w:spacing w:line="360" w:lineRule="atLeast"/>
        <w:ind w:firstLine="640" w:firstLineChars="200"/>
        <w:jc w:val="left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三是生态环境不断优化。深入推进蓝天保卫战，与各级部门开展联合行动90余次，高压态势保持“六控”的管理，清退、关停“散乱污”企业20余家。科学治理本级河段工作中的重点难点，水域生态环境治理取得一定成效。切实开展垃圾分类，优化人居环境。</w:t>
      </w:r>
    </w:p>
    <w:p>
      <w:pPr>
        <w:widowControl/>
        <w:shd w:val="clear" w:color="auto"/>
        <w:spacing w:line="360" w:lineRule="atLeast"/>
        <w:ind w:firstLine="640" w:firstLineChars="200"/>
        <w:jc w:val="left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四是社会治理卓有成效。开展校园周边环境综合整治，进行50余次综合整治及专项整治行动。打造综治网格调度中心，开展矛盾纠纷和不稳定因素大排查，摸排化解不稳定问题34起。通过东湖夜话，深入开展禁毒知识进社区、进家庭，防控“套路贷”“校园贷”进高校、进课堂等活动。</w:t>
      </w:r>
    </w:p>
    <w:p>
      <w:pPr>
        <w:widowControl/>
        <w:shd w:val="clear" w:color="auto"/>
        <w:spacing w:line="360" w:lineRule="atLeast"/>
        <w:ind w:firstLine="640" w:firstLineChars="200"/>
        <w:jc w:val="left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五是民生事业持续向好。结合“不忘初心、牢记使命”主题教育为民办实事，通过多方征求意见，梳理、收集、解决8个群众关切的问题。联合供电所 “点亮”老东湖路路灯，得到袁隆平院士和周边居民点赞。</w:t>
      </w:r>
    </w:p>
    <w:p>
      <w:pPr>
        <w:shd w:val="clear"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  <w:t>六、存在的主要问题</w:t>
      </w:r>
    </w:p>
    <w:p>
      <w:pPr>
        <w:widowControl/>
        <w:shd w:val="clear" w:color="auto"/>
        <w:spacing w:line="360" w:lineRule="atLeast"/>
        <w:ind w:firstLine="640" w:firstLineChars="200"/>
        <w:jc w:val="left"/>
        <w:textAlignment w:val="center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1、绩效评价工作机制有待进一步完善，由于在平时工作中未加强对绩效监控工作的重视，绩效监控工作相对滞后，未形成对绩效目标进行监控的长效机制。</w:t>
      </w:r>
    </w:p>
    <w:p>
      <w:pPr>
        <w:widowControl/>
        <w:shd w:val="clear" w:color="auto"/>
        <w:spacing w:line="360" w:lineRule="atLeast"/>
        <w:ind w:firstLine="640" w:firstLineChars="200"/>
        <w:jc w:val="left"/>
        <w:textAlignment w:val="center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2、预算编制工作有待细化。预算编制不够明确和细化，预算编制的合理性需要提高。预算执行力度还要进一步加强。</w:t>
      </w:r>
    </w:p>
    <w:p>
      <w:pPr>
        <w:shd w:val="clear"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auto"/>
        </w:rPr>
        <w:t>七、改进措施和有关建议</w:t>
      </w:r>
    </w:p>
    <w:p>
      <w:pPr>
        <w:widowControl/>
        <w:shd w:val="clear" w:color="auto"/>
        <w:spacing w:line="360" w:lineRule="atLeast"/>
        <w:ind w:firstLine="640" w:firstLineChars="200"/>
        <w:jc w:val="left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（一）规范财务处理，提高财务信息质量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严格按照《会计法》、《行政单位会计制度》、《行政单位财务规则》等规定，结合实际情况，科学设置支出科目，规范财务核算，完整披露相关信息。</w:t>
      </w:r>
    </w:p>
    <w:p>
      <w:pPr>
        <w:widowControl/>
        <w:shd w:val="clear" w:color="auto"/>
        <w:spacing w:line="360" w:lineRule="atLeast"/>
        <w:ind w:firstLine="640" w:firstLineChars="200"/>
        <w:jc w:val="left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（二）加强对财务人员的业务培训，提高财务人员的专业素质和技能；财务人员加强对财务制度的学习，深入把握财务相关规定，严格遵守财务管理制度。</w:t>
      </w:r>
    </w:p>
    <w:p>
      <w:pPr>
        <w:shd w:val="clear"/>
        <w:rPr>
          <w:color w:val="auto"/>
          <w:highlight w:val="none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ZWEzZmQ4MDMzMTRmMmEzMjFiZTNhMDE0NmQ0ODMifQ=="/>
  </w:docVars>
  <w:rsids>
    <w:rsidRoot w:val="700F27A5"/>
    <w:rsid w:val="190E2C6F"/>
    <w:rsid w:val="27C105AD"/>
    <w:rsid w:val="700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5182</Words>
  <Characters>5629</Characters>
  <Lines>0</Lines>
  <Paragraphs>0</Paragraphs>
  <TotalTime>1</TotalTime>
  <ScaleCrop>false</ScaleCrop>
  <LinksUpToDate>false</LinksUpToDate>
  <CharactersWithSpaces>5641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2020-09-24T04:57:00Z</dcterms:created>
  <dc:creator>孔杉</dc:creator>
  <cp:lastModifiedBy>杨瑶</cp:lastModifiedBy>
  <dcterms:modified xsi:type="dcterms:W3CDTF">2022-08-19T02:30:32Z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7219871C79204CDEA4C3E6802B1991F2</vt:lpwstr>
  </property>
</Properties>
</file>