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700" w:lineRule="exact"/>
        <w:jc w:val="center"/>
        <w:rPr>
          <w:rFonts w:hint="eastAsia" w:ascii="Times New Roman" w:hAnsi="Times New Roman" w:eastAsia="方正小标宋简体" w:cs="Times New Roman"/>
          <w:color w:val="auto"/>
          <w:sz w:val="44"/>
          <w:szCs w:val="44"/>
        </w:rPr>
      </w:pPr>
      <w:bookmarkStart w:id="0" w:name="_GoBack"/>
      <w:bookmarkEnd w:id="0"/>
      <w:r>
        <w:rPr>
          <w:rFonts w:hint="eastAsia" w:ascii="Times New Roman" w:hAnsi="Times New Roman" w:eastAsia="方正小标宋简体" w:cs="Times New Roman"/>
          <w:color w:val="auto"/>
          <w:sz w:val="44"/>
          <w:szCs w:val="44"/>
        </w:rPr>
        <w:t>2019年度</w:t>
      </w:r>
      <w:r>
        <w:rPr>
          <w:rFonts w:hint="eastAsia" w:ascii="Times New Roman" w:hAnsi="Times New Roman" w:eastAsia="方正小标宋简体" w:cs="Times New Roman"/>
          <w:color w:val="auto"/>
          <w:sz w:val="44"/>
          <w:szCs w:val="44"/>
          <w:lang w:eastAsia="zh-CN"/>
        </w:rPr>
        <w:t>东屯渡街道办事处</w:t>
      </w:r>
      <w:r>
        <w:rPr>
          <w:rFonts w:hint="eastAsia" w:ascii="Times New Roman" w:hAnsi="Times New Roman" w:eastAsia="方正小标宋简体" w:cs="Times New Roman"/>
          <w:color w:val="auto"/>
          <w:sz w:val="44"/>
          <w:szCs w:val="44"/>
        </w:rPr>
        <w:t>部门整体支出绩效评价报告</w:t>
      </w:r>
    </w:p>
    <w:p>
      <w:pPr>
        <w:spacing w:line="572" w:lineRule="exact"/>
        <w:jc w:val="center"/>
        <w:rPr>
          <w:rFonts w:hint="eastAsia" w:eastAsia="楷体_GB2312"/>
          <w:kern w:val="0"/>
          <w:sz w:val="32"/>
          <w:szCs w:val="32"/>
        </w:rPr>
      </w:pP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为进一步规范财政资金管理，强化部门责任意识，切实提高财政资金使用效益，根据财政部及《长沙市芙蓉区财政支出绩效评价实施办法(试行)》(芙财绩〔2015〕4号)等文件的有关规定，街道积极参与对2019年度部门整体支出绩效评价的工作，现将具体的情况报告如下:</w:t>
      </w:r>
    </w:p>
    <w:p>
      <w:pPr>
        <w:spacing w:line="572" w:lineRule="exact"/>
        <w:ind w:firstLine="640" w:firstLineChars="200"/>
        <w:rPr>
          <w:rFonts w:hint="eastAsia" w:eastAsia="黑体"/>
          <w:kern w:val="0"/>
          <w:sz w:val="32"/>
          <w:szCs w:val="32"/>
        </w:rPr>
      </w:pPr>
      <w:r>
        <w:rPr>
          <w:rFonts w:hint="eastAsia" w:eastAsia="黑体"/>
          <w:kern w:val="0"/>
          <w:sz w:val="32"/>
          <w:szCs w:val="32"/>
        </w:rPr>
        <w:t>一、部门概况</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（一）部门基本情况</w:t>
      </w:r>
    </w:p>
    <w:p>
      <w:pPr>
        <w:spacing w:line="572" w:lineRule="exact"/>
        <w:ind w:firstLine="640" w:firstLineChars="200"/>
        <w:rPr>
          <w:rFonts w:hint="eastAsia" w:eastAsia="仿宋_GB2312"/>
          <w:sz w:val="32"/>
          <w:szCs w:val="32"/>
        </w:rPr>
      </w:pPr>
      <w:r>
        <w:rPr>
          <w:rFonts w:hint="eastAsia" w:eastAsia="仿宋_GB2312"/>
          <w:sz w:val="32"/>
          <w:szCs w:val="32"/>
        </w:rPr>
        <w:t>机构设置:根据编办核定，东屯渡街道机关本级内设机构5个，分别是:党政综合办、基层党建办、城市管理办、公共服务办(行政审批服务办)、公共安全办;二级机构3个，分别是:街道政务服务中心(街道党群服务中心)、街道网格化综合服务中心、退役军人服务站;东屯渡街道下辖社区包括东屯渡社区、芙蓉社区、扬帆社区、嘉雨社区、白沙湾社区、金科社区。</w:t>
      </w:r>
    </w:p>
    <w:p>
      <w:pPr>
        <w:spacing w:line="572" w:lineRule="exact"/>
        <w:ind w:firstLine="640" w:firstLineChars="200"/>
        <w:rPr>
          <w:rFonts w:hint="eastAsia" w:eastAsia="仿宋_GB2312"/>
          <w:sz w:val="32"/>
          <w:szCs w:val="32"/>
        </w:rPr>
      </w:pPr>
      <w:r>
        <w:rPr>
          <w:rFonts w:hint="eastAsia" w:eastAsia="仿宋_GB2312"/>
          <w:sz w:val="32"/>
          <w:szCs w:val="32"/>
        </w:rPr>
        <w:t>1.人员情况</w:t>
      </w:r>
    </w:p>
    <w:p>
      <w:pPr>
        <w:spacing w:line="572" w:lineRule="exact"/>
        <w:ind w:firstLine="640" w:firstLineChars="200"/>
        <w:rPr>
          <w:rFonts w:hint="eastAsia" w:eastAsia="仿宋_GB2312"/>
          <w:sz w:val="32"/>
          <w:szCs w:val="32"/>
        </w:rPr>
      </w:pPr>
      <w:r>
        <w:rPr>
          <w:rFonts w:hint="eastAsia" w:eastAsia="仿宋_GB2312"/>
          <w:sz w:val="32"/>
          <w:szCs w:val="32"/>
        </w:rPr>
        <w:t>东屯渡街道2019年实有行政编制13人，事业编制34人、政府雇员5人、集体干部33人、公益性岗位123人，员额管理78人、网格员20人以及临聘20人，转业士官(参照事业编待遇)4人，在职人员共计330人。</w:t>
      </w:r>
    </w:p>
    <w:p>
      <w:pPr>
        <w:spacing w:line="572" w:lineRule="exact"/>
        <w:ind w:firstLine="640" w:firstLineChars="200"/>
        <w:rPr>
          <w:rFonts w:hint="eastAsia" w:eastAsia="仿宋_GB2312"/>
          <w:sz w:val="32"/>
          <w:szCs w:val="32"/>
        </w:rPr>
      </w:pPr>
      <w:r>
        <w:rPr>
          <w:rFonts w:hint="eastAsia" w:eastAsia="仿宋_GB2312"/>
          <w:sz w:val="32"/>
          <w:szCs w:val="32"/>
        </w:rPr>
        <w:t>2.主要工作职责</w:t>
      </w:r>
    </w:p>
    <w:p>
      <w:pPr>
        <w:spacing w:line="572" w:lineRule="exact"/>
        <w:ind w:firstLine="640" w:firstLineChars="200"/>
        <w:rPr>
          <w:rFonts w:hint="eastAsia" w:eastAsia="仿宋_GB2312"/>
          <w:sz w:val="32"/>
          <w:szCs w:val="32"/>
        </w:rPr>
      </w:pPr>
      <w:r>
        <w:rPr>
          <w:rFonts w:hint="eastAsia" w:eastAsia="仿宋_GB2312"/>
          <w:sz w:val="32"/>
          <w:szCs w:val="32"/>
        </w:rPr>
        <w:t>(1)贯彻执行党的路线、方针、政策和国家、地方法规;落实区委、区政府各项指示和决定;抓好辖区的社会主义精神文明建设。</w:t>
      </w:r>
    </w:p>
    <w:p>
      <w:pPr>
        <w:spacing w:line="572" w:lineRule="exact"/>
        <w:ind w:firstLine="640" w:firstLineChars="200"/>
        <w:rPr>
          <w:rFonts w:hint="eastAsia" w:eastAsia="仿宋_GB2312"/>
          <w:sz w:val="32"/>
          <w:szCs w:val="32"/>
        </w:rPr>
      </w:pPr>
      <w:r>
        <w:rPr>
          <w:rFonts w:hint="eastAsia" w:eastAsia="仿宋_GB2312"/>
          <w:sz w:val="32"/>
          <w:szCs w:val="32"/>
        </w:rPr>
        <w:t>(2)以经济建设为中心，大力发展街道经济，提高社区服务能力。</w:t>
      </w:r>
    </w:p>
    <w:p>
      <w:pPr>
        <w:spacing w:line="572" w:lineRule="exact"/>
        <w:ind w:firstLine="640" w:firstLineChars="200"/>
        <w:rPr>
          <w:rFonts w:hint="eastAsia" w:eastAsia="仿宋_GB2312"/>
          <w:sz w:val="32"/>
          <w:szCs w:val="32"/>
        </w:rPr>
      </w:pPr>
      <w:r>
        <w:rPr>
          <w:rFonts w:hint="eastAsia" w:eastAsia="仿宋_GB2312"/>
          <w:sz w:val="32"/>
          <w:szCs w:val="32"/>
        </w:rPr>
        <w:t>(3)指导、协调和帮助社区搞好基层组织建设。</w:t>
      </w:r>
    </w:p>
    <w:p>
      <w:pPr>
        <w:spacing w:line="572" w:lineRule="exact"/>
        <w:ind w:firstLine="640" w:firstLineChars="200"/>
        <w:rPr>
          <w:rFonts w:hint="eastAsia" w:eastAsia="仿宋_GB2312"/>
          <w:sz w:val="32"/>
          <w:szCs w:val="32"/>
        </w:rPr>
      </w:pPr>
      <w:r>
        <w:rPr>
          <w:rFonts w:hint="eastAsia" w:eastAsia="仿宋_GB2312"/>
          <w:sz w:val="32"/>
          <w:szCs w:val="32"/>
        </w:rPr>
        <w:t>(4)抓好辖区的社会治安综合治理。</w:t>
      </w:r>
    </w:p>
    <w:p>
      <w:pPr>
        <w:spacing w:line="572" w:lineRule="exact"/>
        <w:ind w:firstLine="640" w:firstLineChars="200"/>
        <w:rPr>
          <w:rFonts w:hint="eastAsia" w:eastAsia="仿宋_GB2312"/>
          <w:sz w:val="32"/>
          <w:szCs w:val="32"/>
        </w:rPr>
      </w:pPr>
      <w:r>
        <w:rPr>
          <w:rFonts w:hint="eastAsia" w:eastAsia="仿宋_GB2312"/>
          <w:sz w:val="32"/>
          <w:szCs w:val="32"/>
        </w:rPr>
        <w:t>(5)抓好计划生育、义务教育扫盲工作。</w:t>
      </w:r>
    </w:p>
    <w:p>
      <w:pPr>
        <w:spacing w:line="572" w:lineRule="exact"/>
        <w:ind w:firstLine="640" w:firstLineChars="200"/>
        <w:rPr>
          <w:rFonts w:hint="eastAsia" w:eastAsia="仿宋_GB2312"/>
          <w:sz w:val="32"/>
          <w:szCs w:val="32"/>
        </w:rPr>
      </w:pPr>
      <w:r>
        <w:rPr>
          <w:rFonts w:hint="eastAsia" w:eastAsia="仿宋_GB2312"/>
          <w:sz w:val="32"/>
          <w:szCs w:val="32"/>
        </w:rPr>
        <w:t>(6)配合有关部门做好城建、城管工作，管理好居民小区、街道的环境卫生、美化、绿化工作。</w:t>
      </w:r>
    </w:p>
    <w:p>
      <w:pPr>
        <w:spacing w:line="572" w:lineRule="exact"/>
        <w:ind w:firstLine="640" w:firstLineChars="200"/>
        <w:rPr>
          <w:rFonts w:hint="eastAsia" w:eastAsia="仿宋_GB2312"/>
          <w:sz w:val="32"/>
          <w:szCs w:val="32"/>
        </w:rPr>
      </w:pPr>
      <w:r>
        <w:rPr>
          <w:rFonts w:hint="eastAsia" w:eastAsia="仿宋_GB2312"/>
          <w:sz w:val="32"/>
          <w:szCs w:val="32"/>
        </w:rPr>
        <w:t>(7)配合民政等部门做好辖区的民政工作、拥军优属、优抚和社会救济、社会福利等工作。</w:t>
      </w:r>
    </w:p>
    <w:p>
      <w:pPr>
        <w:spacing w:line="572" w:lineRule="exact"/>
        <w:ind w:firstLine="640" w:firstLineChars="200"/>
        <w:rPr>
          <w:rFonts w:hint="eastAsia" w:eastAsia="仿宋_GB2312"/>
          <w:sz w:val="32"/>
          <w:szCs w:val="32"/>
        </w:rPr>
      </w:pPr>
      <w:r>
        <w:rPr>
          <w:rFonts w:hint="eastAsia" w:eastAsia="仿宋_GB2312"/>
          <w:sz w:val="32"/>
          <w:szCs w:val="32"/>
        </w:rPr>
        <w:t>(8)协助有关部门做好辖区的民兵预备役工作和科普工作。</w:t>
      </w:r>
    </w:p>
    <w:p>
      <w:pPr>
        <w:spacing w:line="572" w:lineRule="exact"/>
        <w:ind w:firstLine="640" w:firstLineChars="200"/>
        <w:rPr>
          <w:rFonts w:hint="eastAsia" w:eastAsia="仿宋_GB2312"/>
          <w:sz w:val="32"/>
          <w:szCs w:val="32"/>
        </w:rPr>
      </w:pPr>
      <w:r>
        <w:rPr>
          <w:rFonts w:hint="eastAsia" w:eastAsia="仿宋_GB2312"/>
          <w:sz w:val="32"/>
          <w:szCs w:val="32"/>
        </w:rPr>
        <w:t>(9)完成区委、区政府交办的其他工作。</w:t>
      </w:r>
    </w:p>
    <w:p>
      <w:pPr>
        <w:spacing w:line="572" w:lineRule="exact"/>
        <w:ind w:firstLine="640" w:firstLineChars="200"/>
        <w:rPr>
          <w:rFonts w:hint="eastAsia" w:eastAsia="仿宋_GB2312"/>
          <w:sz w:val="32"/>
          <w:szCs w:val="32"/>
        </w:rPr>
      </w:pPr>
      <w:r>
        <w:rPr>
          <w:rFonts w:hint="eastAsia" w:eastAsia="仿宋_GB2312"/>
          <w:sz w:val="32"/>
          <w:szCs w:val="32"/>
        </w:rPr>
        <w:t>3.重点工作计划</w:t>
      </w:r>
    </w:p>
    <w:p>
      <w:pPr>
        <w:spacing w:line="572" w:lineRule="exact"/>
        <w:ind w:firstLine="640" w:firstLineChars="200"/>
        <w:rPr>
          <w:rFonts w:hint="eastAsia" w:ascii="宋体" w:hAnsi="宋体" w:eastAsia="宋体" w:cs="宋体"/>
          <w:i w:val="0"/>
          <w:caps w:val="0"/>
          <w:color w:val="333333"/>
          <w:spacing w:val="0"/>
          <w:sz w:val="24"/>
          <w:szCs w:val="24"/>
          <w:shd w:val="clear" w:color="auto" w:fill="FFFFFF"/>
        </w:rPr>
      </w:pPr>
      <w:r>
        <w:rPr>
          <w:rFonts w:hint="eastAsia" w:eastAsia="仿宋_GB2312"/>
          <w:sz w:val="32"/>
          <w:szCs w:val="32"/>
        </w:rPr>
        <w:t>2019年，东屯渡街道紧紧围绕区委、区政府的正确领导，以推动发展、服务群众为目标，认真贯彻落实习近平新时代中国特色社会主义思想和党的十九大精神，以提高基层党建水平为主线,以党风廉政建设为抓手,着力优化营商环境、加强城市管理、提升居民福祉、确保辖区平安，各项工作均取得了较好成绩。</w:t>
      </w:r>
    </w:p>
    <w:p>
      <w:pPr>
        <w:numPr>
          <w:ilvl w:val="0"/>
          <w:numId w:val="1"/>
        </w:numPr>
        <w:spacing w:line="572" w:lineRule="exact"/>
        <w:ind w:firstLine="640" w:firstLineChars="200"/>
        <w:rPr>
          <w:rFonts w:hint="eastAsia" w:eastAsia="仿宋_GB2312"/>
          <w:sz w:val="32"/>
          <w:szCs w:val="32"/>
        </w:rPr>
      </w:pPr>
      <w:r>
        <w:rPr>
          <w:rFonts w:hint="eastAsia" w:eastAsia="仿宋_GB2312"/>
          <w:sz w:val="32"/>
          <w:szCs w:val="32"/>
        </w:rPr>
        <w:t>部门年度预算收支余情况、部门整体支出使用方向和主要内容、涉及范围等。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420" w:lineRule="atLeast"/>
        <w:ind w:right="0" w:firstLine="640" w:firstLineChars="200"/>
        <w:jc w:val="left"/>
        <w:textAlignment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东屯渡街道2019年度财政拨款收入预算批复6178.48万元，在执行预算的过程中实际到位指标9799.26万元，其中:财政拨款收入7377.45万元，政府性基金预算财政拨款收入23.00万元，预算外其他收入2398.80万元。财政实际支出10077.99万元。其中:基本支出2179.26万元，项目支出7898.74万元。上年结余2036.02万元，本年结余1757.29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420" w:lineRule="atLeast"/>
        <w:ind w:right="0" w:firstLine="640" w:firstLineChars="200"/>
        <w:jc w:val="left"/>
        <w:textAlignment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我街支出主要分两个方面:一方面为街道的基本支出，主要包括，机关人员工资福利支出;商品服务支出;对个人和家庭的补助;资本性支出。另一方面为街道的项目支出，主要包括:处遗经费、环卫所项目、社区经费、综合项目(城管、综治、文化、计生、食安、安监)、综合预算专项经费等。</w:t>
      </w:r>
    </w:p>
    <w:p>
      <w:pPr>
        <w:numPr>
          <w:ilvl w:val="0"/>
          <w:numId w:val="0"/>
        </w:numPr>
        <w:spacing w:line="572" w:lineRule="exact"/>
        <w:rPr>
          <w:rFonts w:hint="eastAsia" w:eastAsia="仿宋_GB2312"/>
          <w:sz w:val="32"/>
          <w:szCs w:val="32"/>
        </w:rPr>
      </w:pPr>
    </w:p>
    <w:p>
      <w:pPr>
        <w:spacing w:line="572" w:lineRule="exact"/>
        <w:ind w:firstLine="640" w:firstLineChars="200"/>
        <w:rPr>
          <w:rFonts w:hint="eastAsia" w:eastAsia="黑体"/>
          <w:kern w:val="0"/>
          <w:sz w:val="32"/>
          <w:szCs w:val="32"/>
        </w:rPr>
      </w:pPr>
      <w:r>
        <w:rPr>
          <w:rFonts w:hint="eastAsia" w:eastAsia="黑体"/>
          <w:kern w:val="0"/>
          <w:sz w:val="32"/>
          <w:szCs w:val="32"/>
        </w:rPr>
        <w:t>二、部门整体支出管理及使用情况</w:t>
      </w:r>
    </w:p>
    <w:p>
      <w:pPr>
        <w:adjustRightInd w:val="0"/>
        <w:snapToGrid w:val="0"/>
        <w:spacing w:line="572" w:lineRule="exact"/>
        <w:ind w:firstLine="643" w:firstLineChars="200"/>
        <w:rPr>
          <w:rFonts w:hint="eastAsia" w:eastAsia="楷体_GB2312"/>
          <w:b/>
          <w:sz w:val="32"/>
          <w:szCs w:val="32"/>
        </w:rPr>
      </w:pPr>
      <w:r>
        <w:rPr>
          <w:rFonts w:hint="eastAsia" w:eastAsia="楷体_GB2312"/>
          <w:b/>
          <w:sz w:val="32"/>
          <w:szCs w:val="32"/>
        </w:rPr>
        <w:t>（一）基本支出</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1.基本支出主要包括，人员工资福利支出、商品和服务支出、对个人和家庭的补助、办公设备购置等。</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2019年街道的基本支出总额为2179.26万元，占年度总支出的21.62%，其中工资福利支出1999.56万元，占基本支出的91.75%，商品和服务支出79.71万元，占基本支出的3.66%，对个人和家庭的补助93.74万元，占基本支出的4.30%，资本性支出6.25万元,占基本支出的0.29%。</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2.三公经费使用情况</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街道认真贯彻落实中央八项规定、六项禁令、执行作风建设相关规定，</w:t>
      </w:r>
      <w:r>
        <w:rPr>
          <w:rFonts w:hint="eastAsia" w:eastAsia="仿宋_GB2312"/>
          <w:sz w:val="32"/>
          <w:szCs w:val="32"/>
          <w:lang w:eastAsia="zh-CN"/>
        </w:rPr>
        <w:t>厉行节约</w:t>
      </w:r>
      <w:r>
        <w:rPr>
          <w:rFonts w:hint="eastAsia" w:eastAsia="仿宋_GB2312"/>
          <w:sz w:val="32"/>
          <w:szCs w:val="32"/>
        </w:rPr>
        <w:t>，“三公”经费逐年下降，2019年的三公经费均控制在预算范围内，其中:因公出国出境费用本年度未发生经费支出，公务接待费预算数为1万，实际发生0万，公车运行维护费预算数为0万，实际发生0万。本年三公经费较上年度有明显减少。</w:t>
      </w:r>
    </w:p>
    <w:p>
      <w:pPr>
        <w:adjustRightInd w:val="0"/>
        <w:snapToGrid w:val="0"/>
        <w:spacing w:line="572" w:lineRule="exact"/>
        <w:ind w:firstLine="643" w:firstLineChars="200"/>
        <w:rPr>
          <w:rFonts w:hint="eastAsia" w:eastAsia="楷体_GB2312"/>
          <w:b/>
          <w:sz w:val="32"/>
          <w:szCs w:val="32"/>
        </w:rPr>
      </w:pPr>
      <w:r>
        <w:rPr>
          <w:rFonts w:hint="eastAsia" w:eastAsia="楷体_GB2312"/>
          <w:b/>
          <w:sz w:val="32"/>
          <w:szCs w:val="32"/>
        </w:rPr>
        <w:t>（二）项目支出</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lang w:val="en-US" w:eastAsia="zh-CN"/>
        </w:rPr>
        <w:t>1.</w:t>
      </w:r>
      <w:r>
        <w:rPr>
          <w:rFonts w:hint="eastAsia" w:eastAsia="仿宋_GB2312"/>
          <w:sz w:val="32"/>
          <w:szCs w:val="32"/>
        </w:rPr>
        <w:t>项目支出主要包括:处遗经费、环卫所项目、社区经费、综合项目(城管、综治、文化、计生、食安、安监)、综合预算专项经费等。</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lang w:val="en-US" w:eastAsia="zh-CN"/>
        </w:rPr>
        <w:t>2.</w:t>
      </w:r>
      <w:r>
        <w:rPr>
          <w:rFonts w:hint="eastAsia" w:eastAsia="仿宋_GB2312"/>
          <w:sz w:val="32"/>
          <w:szCs w:val="32"/>
        </w:rPr>
        <w:t>2019年街道的项目支出总额为7898.74万元，占年度总支出的78.38%，其中工资福利支出2122.68万元，占项目支出的26.88%，商品和服务支出1239.81万元，占项目支出的15.70%，对个人和家庭的补助578.97万元,占项目支出的7.33%，资本性支出1587.21万元，占项目支出的20.09%，对企业的补贴支出515.15万元，占项目支出的6.52%。其他支出1854.92万元，占项目支出的23.48%。</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lang w:val="en-US" w:eastAsia="zh-CN"/>
        </w:rPr>
        <w:t>3.</w:t>
      </w:r>
      <w:r>
        <w:rPr>
          <w:rFonts w:hint="eastAsia" w:eastAsia="仿宋_GB2312"/>
          <w:sz w:val="32"/>
          <w:szCs w:val="32"/>
        </w:rPr>
        <w:t>东屯渡街道办事处根据国家相关法规，结合单位实际，明确了人员分工及工作职责，建立健全机关管理制度，实行制度管人、管事、管权。进一步完善了财务管理制度，制定了《东屯渡街道财务管理办法》《内部财务管理控制制度》等规章制度，对资金、物资进行管理和使用;严格按照财经纪律规范和使用财政资金，做到资金的使用均有完整的审批程序，并实行专人管理、转账核算、专款专用原则，使财政收支预算执行取得良好的实施效果。</w:t>
      </w:r>
    </w:p>
    <w:p>
      <w:pPr>
        <w:spacing w:line="572" w:lineRule="exact"/>
        <w:ind w:firstLine="640" w:firstLineChars="200"/>
        <w:rPr>
          <w:rFonts w:hint="eastAsia" w:eastAsia="黑体"/>
          <w:kern w:val="0"/>
          <w:sz w:val="32"/>
          <w:szCs w:val="32"/>
        </w:rPr>
      </w:pPr>
      <w:r>
        <w:rPr>
          <w:rFonts w:hint="eastAsia" w:eastAsia="黑体"/>
          <w:kern w:val="0"/>
          <w:sz w:val="32"/>
          <w:szCs w:val="32"/>
        </w:rPr>
        <w:t>三、部门项目组织实施情况</w:t>
      </w:r>
    </w:p>
    <w:p>
      <w:pPr>
        <w:adjustRightInd w:val="0"/>
        <w:snapToGrid w:val="0"/>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街道建立健全项目建设工作的领导、组织机构，项目建设工作由党政会议集体研究决定，由分管领导具体负责实施。项目招投标按照招投标管理办法进行公开招投标，实行公开、公平竞争。财政资金管理遵循专用原则，严格按照批准的项目预算执行，并按照合同约定和工程价款结算程序支付工程款。对已具备竣工验收条件的项目，及时组织验收、移交使用，及时编报竣工财务决算。同时加强对项目的监督管理，采取事前、事中、事后相结合，日常监督和专项监督相结合的方式，对项目财务行为实施全过程监督管理。</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四、资产管理情况</w:t>
      </w:r>
    </w:p>
    <w:p>
      <w:pPr>
        <w:adjustRightInd w:val="0"/>
        <w:snapToGrid w:val="0"/>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1.制度方面:以区政府固定资产管理文件为依托建立健全的资产管理制度，合理配备并节约高效使用资产、提高资产使用效率，保障资产的安全和完整;  </w:t>
      </w:r>
    </w:p>
    <w:p>
      <w:pPr>
        <w:adjustRightInd w:val="0"/>
        <w:snapToGrid w:val="0"/>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2.资产管理:由财政所进行账务管理及资产台账管理，由财政所牵头，联合各部门和社区按照谁使用、谁负责的原则进行实物管理及使用情况监督;  </w:t>
      </w:r>
    </w:p>
    <w:p>
      <w:pPr>
        <w:adjustRightInd w:val="0"/>
        <w:snapToGrid w:val="0"/>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3.信息化建设方面:通过“湖南省行政事业资产动态管理信息系统”严格管理资产卡片，及时记录资产的增加、减少、使用等情况。真实地反映和监督资产的增减变动和实际情况，建立健全资产账簿体系。</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五、部门整体支出绩效情况</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2019年，街道根据区年初工作规划和重点性工作，围绕两型社会的构建，全面建成小康社会的发展宏图，积极履职，强化管理，较好地完成了年度工作目标。通过加强预算收支管理，不断建立健全的内部管理体制，在年底还开展了行政事业单位内部控制制度的建设，并顺利完成，理顺了内部管理流程，部门整体支出管理情况得到了提升。部门整体支出绩效评价情况如下:</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(一)经济性评价</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2019年街道严格控制预算支出，不断强化管理，严格执行了预决算公开。本年对社区的资金拨付均已及时进行支付或完成预算指标文件的下达，不存在截留或滞留专项资金情况;街道充分节约使用经费，基本支出较好地控制在预算额度内，人员经费严格按标准支出，经费尚有结余;三公经费使用控制较好。项目经费严格按照要求支付，做到专款专用，结余资金比上年有所增加。</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(二)行政效能评价</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为强化部门整体支出，加强国有资产管理，提高资金使用效益，提升财务管理，建立节约型机关，2019年，街道在强化业务管理、财务管理和厉行节约方面开展了大量工作，行政效能显著。</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1.严格执行国库集中支付、公务卡结算制度、政府采购等有关规定，政府采购目录内的货物与服务全部按要求实施了政府采购，确保了支出管理流程、审批手续的完整。</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2.强化资金使用的监督管理及预算管理。</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一是规范安全生产培训、宣传、专家咨询活动，严格办公用房管理等，控制办公经费开支;二是严格财务管理，严格财务审核把关，对各科室实行经费支出限额管理，严控经费支出，落实项目资金专款专用。</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(三)项目产出及社会效益评价</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1.经济发展稳健增长。全年实现区级税收征收入库5346万元，完成税收进度92.17%;完成限额以上商贸业社会消费品零售总额40714万元，增速15.65%;完成限额以上批发企业销售额105412万元，增速11.34%;完成规模营利性服务业营业收入49697.6万元，增速12.06%;完成固定投资20亿元，为年计划的200%;完成新增四上单位17家，为年计划的100%。 </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2.城市管理严抓不懈。规范市场经营秩序，加强市容市貌综合整治，以高岭农贸市场、扬帆夜市为重点，多次对辖区市场无证经营、店外经营、违章搭建、占用消防通道的乱象，开展综合整治行动180余次。处置平台案件8400余条。办理行政执法案卷309个，罚款133850元。严控违章违建，先后共出动900余人次开展集中整治，拆除违章伸缩棚380余个。 </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3.环境保护提质增效。以“六控十严禁”为抓手，常态化开展“蓝天保卫战”工作。自制并下发相关通告800余份，组织开展主题宣传活动12次，发放宣传单页1000余份。以全面覆盖为目标，强力推进生活垃圾分类。全年累计投放四分类垃圾桶2000余套，发放各类宣传手册18000余份。以河长制为总揽，建立两级巡查制度，定期组织日常巡查和联合整治，1-12月共开展巡河75次，超额完成时段打卡任务。 </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4.民生事务细致深入。扎实开展特殊群体社会救助工作，为16户特困家庭申请了临时救助和医疗救助，救助金额13万余元。贯彻落实优抚政策，按时完成退役军人和其他优抚对象信息采集工作。深入落实计划生育优惠政策。全面推进各类人员就业工作。完善“12345”处置流程，建立高效快捷服务机制，共受理热线工单884起，工单回复满意率99.6%。 </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5.安全稳定保障有力。开展安全生产专项检查行动47次。落实辖区230余家企业安全生产“班前会”制度。完善安全生产事故应急救援预案，强化宣传教育。净化食品安全环境，开展食品安全专项行动，对全街食药行业彻底摸排，组织城管、公安、社区、食安、工商联合执法行动6次，参加人员达80余人次。开展食品安全培训四次，培训人数达1400余人次。开展食品安全培训。妥善化解信访纠纷，有效维护社会稳定。 </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6.党的建设驰而不息。扎实开展“不忘初心、牢记使命”主题教育。加大对基层党组织党建指导。开展党务工作业务培训。深化党风廉政建设，积极开展扫黑除恶。打造“浏河赤子心”党建品牌，推进6个社区党建品牌提质升级。将“雨后彩虹”慈善基金、“家医”志愿服务队纳入“浏河赤子心”品牌，推动基层党建全面提质。打造新时代文明实践所，开展12个志愿服务项目。落实社会主义核心价值观建设，开展帮扶活动10余次，开展学雷锋志愿服务活动45次，宣传道德模范事迹。 </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六、存在的主要问题</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1.绩效评价工作机制有待进一步完善，由于在平时工作中未加强对绩效监控工作的重视，绩效监控工作容易滞后，未形成对绩效目标进行监控的习惯。</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2.预算编制工作有待细化。预算编制不够明确和细化，预算编制的合理性需要提高。预算执行力度还要进一步加强。</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七、改进措施和有关建议</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1.制定合理的年度工作计划和年度经费支出预算，确保全年经费支出均衡。</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2.建立和完善内部控制建设，形成系统的内部财务管理制度。加强对专项资金的管理，按工作要求加快专项资金下达及使用进度，切实发挥资金效益。</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3.在以后的日常预算管理过程中，进一步加强对资金的管控能力，加强预算资金的审核及预算执行情况的分析等。</w:t>
      </w:r>
    </w:p>
    <w:p>
      <w:pPr>
        <w:adjustRightInd w:val="0"/>
        <w:snapToGrid w:val="0"/>
        <w:spacing w:line="600" w:lineRule="exact"/>
        <w:ind w:firstLine="640" w:firstLineChars="200"/>
        <w:rPr>
          <w:rFonts w:hint="eastAsia" w:eastAsia="仿宋_GB2312"/>
          <w:sz w:val="32"/>
          <w:szCs w:val="32"/>
        </w:rPr>
      </w:pPr>
    </w:p>
    <w:p>
      <w:pPr>
        <w:adjustRightInd w:val="0"/>
        <w:snapToGrid w:val="0"/>
        <w:spacing w:line="600" w:lineRule="exact"/>
        <w:ind w:firstLine="640" w:firstLineChars="200"/>
        <w:rPr>
          <w:rFonts w:hint="eastAsia" w:eastAsia="仿宋_GB2312"/>
          <w:sz w:val="32"/>
          <w:szCs w:val="32"/>
        </w:rPr>
      </w:pPr>
    </w:p>
    <w:p>
      <w:pPr>
        <w:adjustRightInd w:val="0"/>
        <w:snapToGrid w:val="0"/>
        <w:spacing w:line="600" w:lineRule="exact"/>
        <w:ind w:firstLine="640" w:firstLineChars="200"/>
        <w:rPr>
          <w:rFonts w:hint="eastAsia" w:eastAsia="仿宋_GB2312"/>
          <w:sz w:val="32"/>
          <w:szCs w:val="32"/>
        </w:rPr>
      </w:pPr>
    </w:p>
    <w:p>
      <w:pPr>
        <w:adjustRightInd w:val="0"/>
        <w:snapToGrid w:val="0"/>
        <w:spacing w:line="600" w:lineRule="exact"/>
        <w:ind w:firstLine="640" w:firstLineChars="200"/>
        <w:jc w:val="right"/>
        <w:rPr>
          <w:rFonts w:hint="eastAsia" w:eastAsia="仿宋_GB2312"/>
          <w:sz w:val="32"/>
          <w:szCs w:val="32"/>
        </w:rPr>
      </w:pPr>
      <w:r>
        <w:rPr>
          <w:rFonts w:hint="eastAsia" w:eastAsia="仿宋_GB2312"/>
          <w:sz w:val="32"/>
          <w:szCs w:val="32"/>
        </w:rPr>
        <w:t>长沙市芙蓉区东屯渡街道办事处</w:t>
      </w:r>
    </w:p>
    <w:p>
      <w:pPr>
        <w:adjustRightInd w:val="0"/>
        <w:snapToGrid w:val="0"/>
        <w:spacing w:line="600" w:lineRule="exact"/>
        <w:ind w:firstLine="640" w:firstLineChars="200"/>
        <w:jc w:val="right"/>
        <w:rPr>
          <w:rFonts w:hint="eastAsia" w:eastAsia="仿宋_GB2312"/>
          <w:lang w:eastAsia="zh-CN"/>
        </w:rPr>
        <w:sectPr>
          <w:footerReference r:id="rId3" w:type="default"/>
          <w:footerReference r:id="rId4" w:type="even"/>
          <w:pgSz w:w="11906" w:h="16838"/>
          <w:pgMar w:top="1474" w:right="1588" w:bottom="1474" w:left="1588" w:header="851" w:footer="992" w:gutter="0"/>
          <w:cols w:space="720" w:num="1"/>
          <w:titlePg/>
          <w:docGrid w:type="lines" w:linePitch="312" w:charSpace="0"/>
        </w:sectPr>
      </w:pPr>
      <w:r>
        <w:rPr>
          <w:rFonts w:hint="eastAsia" w:eastAsia="仿宋_GB2312"/>
          <w:sz w:val="32"/>
          <w:szCs w:val="32"/>
        </w:rPr>
        <w:t>2020年4月23</w:t>
      </w:r>
      <w:r>
        <w:rPr>
          <w:rFonts w:hint="eastAsia" w:eastAsia="仿宋_GB2312"/>
          <w:sz w:val="32"/>
          <w:szCs w:val="32"/>
          <w:lang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51393B"/>
    <w:multiLevelType w:val="singleLevel"/>
    <w:tmpl w:val="7651393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ZWEzZmQ4MDMzMTRmMmEzMjFiZTNhMDE0NmQ0ODMifQ=="/>
  </w:docVars>
  <w:rsids>
    <w:rsidRoot w:val="37876458"/>
    <w:rsid w:val="35747319"/>
    <w:rsid w:val="37876458"/>
    <w:rsid w:val="3D3154DA"/>
    <w:rsid w:val="630327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99"/>
    <w:pPr>
      <w:spacing w:before="100" w:beforeAutospacing="1" w:after="100" w:afterAutospacing="1"/>
      <w:jc w:val="left"/>
    </w:pPr>
    <w:rPr>
      <w:kern w:val="0"/>
      <w:sz w:val="24"/>
      <w:szCs w:val="24"/>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4255</Words>
  <Characters>4632</Characters>
  <Lines>0</Lines>
  <Paragraphs>0</Paragraphs>
  <TotalTime>10</TotalTime>
  <ScaleCrop>false</ScaleCrop>
  <LinksUpToDate>false</LinksUpToDate>
  <CharactersWithSpaces>4642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2020-09-24T06:14:00Z</dcterms:created>
  <dc:creator>xie。冬</dc:creator>
  <cp:lastModifiedBy>杨瑶</cp:lastModifiedBy>
  <dcterms:modified xsi:type="dcterms:W3CDTF">2022-05-23T02:48:01Z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1D0C00F1CFF04B4D827A356CBDC07A88</vt:lpwstr>
  </property>
</Properties>
</file>