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方正小标宋简体" w:cs="Times New Roman"/>
          <w:sz w:val="44"/>
          <w:szCs w:val="44"/>
        </w:rPr>
      </w:pPr>
    </w:p>
    <w:p>
      <w:pPr>
        <w:widowControl/>
        <w:shd w:val="clear" w:color="auto" w:fill="FFFFFF"/>
        <w:spacing w:line="70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eastAsia="zh-CN"/>
        </w:rPr>
        <w:t>长沙市芙蓉区东屯渡街道办事处</w:t>
      </w: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单位部门整体支出绩效</w:t>
      </w:r>
      <w:r>
        <w:rPr>
          <w:rFonts w:hint="default" w:ascii="Times New Roman" w:hAnsi="Times New Roman" w:eastAsia="方正小标宋简体" w:cs="Times New Roman"/>
          <w:sz w:val="44"/>
          <w:szCs w:val="44"/>
          <w:lang w:eastAsia="zh-CN"/>
        </w:rPr>
        <w:t>自评</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  告</w:t>
      </w:r>
    </w:p>
    <w:p>
      <w:pPr>
        <w:spacing w:line="600" w:lineRule="exact"/>
        <w:jc w:val="both"/>
        <w:rPr>
          <w:rFonts w:hint="default" w:ascii="Times New Roman" w:hAnsi="Times New Roman" w:eastAsia="楷体_GB2312" w:cs="Times New Roman"/>
          <w:kern w:val="0"/>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机构设置</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根据编办核定</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东屯渡街道机关本级内设机构5个</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分别是</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党政综合办、基层党建办、城市管理办、公共服务办（行政审批服务办）、公共安全办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非独立核算二级机构3个</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分别是</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街道政务服务中心（街道党群服务中心）、街道网格化综合服务中心、退役军人服务站</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群众性自治组织6个</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分别是</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东屯渡社区、芙蓉社区、扬帆社区、嘉雨社区、白沙湾社区、金科社区</w:t>
      </w:r>
      <w:r>
        <w:rPr>
          <w:rFonts w:hint="eastAsia" w:ascii="Times New Roman" w:hAnsi="Times New Roman" w:eastAsia="仿宋_GB2312" w:cs="Times New Roman"/>
          <w:kern w:val="2"/>
          <w:sz w:val="32"/>
          <w:szCs w:val="32"/>
          <w:lang w:val="en-US" w:eastAsia="zh-CN" w:bidi="ar-SA"/>
        </w:rPr>
        <w:t>。</w:t>
      </w:r>
    </w:p>
    <w:p>
      <w:pPr>
        <w:pStyle w:val="2"/>
        <w:spacing w:line="360" w:lineRule="auto"/>
        <w:ind w:left="0" w:leftChars="0" w:firstLine="643"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1、人员情况</w:t>
      </w:r>
    </w:p>
    <w:p>
      <w:pPr>
        <w:pStyle w:val="2"/>
        <w:spacing w:line="360" w:lineRule="auto"/>
        <w:ind w:left="0" w:leftChars="0" w:firstLine="640" w:firstLineChars="20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lang w:val="en-US" w:eastAsia="zh-CN" w:bidi="ar-SA"/>
        </w:rPr>
        <w:t>东屯渡街道2022年实有行政编制13人，事业编制35人、政府雇员4</w:t>
      </w:r>
      <w:r>
        <w:rPr>
          <w:rFonts w:hint="eastAsia" w:ascii="Times New Roman" w:hAnsi="Times New Roman" w:eastAsia="仿宋_GB2312" w:cs="Times New Roman"/>
          <w:kern w:val="2"/>
          <w:sz w:val="32"/>
          <w:szCs w:val="32"/>
          <w:highlight w:val="none"/>
          <w:lang w:val="en-US" w:eastAsia="zh-CN" w:bidi="ar-SA"/>
        </w:rPr>
        <w:t>人、集体干部22人、公益性岗位123人，员额管理79人、网格员18人、以及临聘17人，转业士官（参照事业编待遇）4人，在职人员共计315人。</w:t>
      </w:r>
    </w:p>
    <w:p>
      <w:pPr>
        <w:pStyle w:val="2"/>
        <w:spacing w:line="360" w:lineRule="auto"/>
        <w:ind w:left="0" w:leftChars="0" w:firstLine="643" w:firstLineChars="200"/>
        <w:rPr>
          <w:rFonts w:hint="eastAsia" w:ascii="Times New Roman" w:hAnsi="Times New Roman" w:eastAsia="仿宋_GB2312" w:cs="Times New Roman"/>
          <w:b/>
          <w:bCs/>
          <w:kern w:val="2"/>
          <w:sz w:val="32"/>
          <w:szCs w:val="32"/>
          <w:highlight w:val="none"/>
          <w:lang w:val="en-US" w:eastAsia="zh-CN" w:bidi="ar-SA"/>
        </w:rPr>
      </w:pPr>
      <w:r>
        <w:rPr>
          <w:rFonts w:hint="eastAsia" w:ascii="Times New Roman" w:hAnsi="Times New Roman" w:eastAsia="仿宋_GB2312" w:cs="Times New Roman"/>
          <w:b/>
          <w:bCs/>
          <w:kern w:val="2"/>
          <w:sz w:val="32"/>
          <w:szCs w:val="32"/>
          <w:highlight w:val="none"/>
          <w:lang w:val="en-US" w:eastAsia="zh-CN" w:bidi="ar-SA"/>
        </w:rPr>
        <w:t>2、主要工作职责</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(1)贯彻执行党的路线、方针、政策和国家、地方法规;落实区委、区政府各项指示和决定;抓好辖区的社会主义精神文明建设。</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(2)以经济建设为中心，大力发展街道经济，提高社区服务能力。</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(3)指导、协调和帮助社区搞好基层组织建设。</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(4)抓好辖区的社会治安综合治理。</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(5)抓好计划生育、义务教育扫盲工作。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(6)配合有关部门做好城建、城管工作，管理好居民小区、街道的环境卫生、美化、绿化工作。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(7)配合民政等部门做好辖区的民政工作、拥军优属、优抚和社会救济、社会福利等工作。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(8)协助有关部门做好辖区的民兵预备役工作和科普工作。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(9)完成区委、区政府交办的其他工作。</w:t>
      </w:r>
    </w:p>
    <w:p>
      <w:pPr>
        <w:pStyle w:val="2"/>
        <w:spacing w:line="360" w:lineRule="auto"/>
        <w:ind w:left="0" w:leftChars="0" w:firstLine="643"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3、重点工作计划</w:t>
      </w:r>
    </w:p>
    <w:p>
      <w:pPr>
        <w:pStyle w:val="2"/>
        <w:spacing w:line="360" w:lineRule="auto"/>
        <w:ind w:left="0" w:leftChars="0"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东屯渡街道紧紧围绕区委、区政府的正确领导，以推动发展、服务群众为目标，认真贯彻落实习近平新时代中国特色社会主义思想和党的二十大精神，以提高基层党建水平为主线,以党风廉政建设为抓手,着力优化营商环境、加强城市管理、提升居民福祉、确保辖区平安，各项工作均取得了较好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b/>
          <w:bCs/>
          <w:kern w:val="2"/>
          <w:sz w:val="32"/>
          <w:szCs w:val="32"/>
          <w:lang w:val="en-US" w:eastAsia="zh-CN" w:bidi="ar-SA"/>
        </w:rPr>
        <w:t>1、部门整体支出规模：</w:t>
      </w:r>
      <w:r>
        <w:rPr>
          <w:rFonts w:hint="eastAsia" w:ascii="Times New Roman" w:hAnsi="Times New Roman" w:eastAsia="仿宋_GB2312" w:cs="Times New Roman"/>
          <w:kern w:val="2"/>
          <w:sz w:val="32"/>
          <w:szCs w:val="32"/>
          <w:lang w:val="en-US" w:eastAsia="zh-CN" w:bidi="ar-SA"/>
        </w:rPr>
        <w:t>东屯渡街道2022年度财政拨款收</w:t>
      </w:r>
      <w:r>
        <w:rPr>
          <w:rFonts w:hint="eastAsia" w:ascii="Times New Roman" w:hAnsi="Times New Roman" w:eastAsia="仿宋_GB2312" w:cs="Times New Roman"/>
          <w:kern w:val="2"/>
          <w:sz w:val="32"/>
          <w:szCs w:val="32"/>
          <w:highlight w:val="none"/>
          <w:lang w:val="en-US" w:eastAsia="zh-CN" w:bidi="ar-SA"/>
        </w:rPr>
        <w:t>入预算批复7676.16万元，在执行预算的过程中实际到位指标9805.01万元，其中:财政拨款收入9236.36万元，预算外其他收入568.65万元。财政实际支出9805.01万元。其中:基本支出4077.39万元，项目支出5727.62万元，本年无结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b/>
          <w:bCs/>
          <w:sz w:val="32"/>
          <w:szCs w:val="32"/>
          <w:lang w:val="en-US" w:eastAsia="zh-CN"/>
        </w:rPr>
        <w:t>2、使用方向和主要内容涉及范围等：</w:t>
      </w:r>
      <w:r>
        <w:rPr>
          <w:rFonts w:hint="eastAsia" w:ascii="Times New Roman" w:hAnsi="Times New Roman" w:eastAsia="仿宋_GB2312"/>
          <w:sz w:val="32"/>
          <w:szCs w:val="32"/>
          <w:lang w:val="en-US" w:eastAsia="zh-CN"/>
        </w:rPr>
        <w:t>我街支出主要分两个方面：一方面为街道的基本支出，主要包括，机关人员工资福利支出、商品服务支出、对个人和家庭的补助、资本性支出。另一方面为街道的项目支出，主要包括：综合运转（含各条线）经费、社区惠民资金、社区经费、环卫所经费</w:t>
      </w:r>
      <w:r>
        <w:rPr>
          <w:rFonts w:hint="default" w:ascii="Times New Roman" w:hAnsi="Times New Roman" w:eastAsia="仿宋_GB2312" w:cs="Times New Roman"/>
          <w:sz w:val="32"/>
          <w:szCs w:val="32"/>
          <w:lang w:val="en-US"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adjustRightInd w:val="0"/>
        <w:snapToGrid w:val="0"/>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b w:val="0"/>
          <w:bCs w:val="0"/>
          <w:sz w:val="32"/>
          <w:szCs w:val="32"/>
        </w:rPr>
        <w:t>基本支出主要包括，</w:t>
      </w:r>
      <w:r>
        <w:rPr>
          <w:rFonts w:hint="eastAsia" w:ascii="Times New Roman" w:hAnsi="Times New Roman" w:eastAsia="仿宋_GB2312"/>
          <w:sz w:val="32"/>
          <w:szCs w:val="32"/>
        </w:rPr>
        <w:t>人员工资福利支出、商品和服务支出、对个人和家庭的补助、办公设备购置等。20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年街道的基本支出总额</w:t>
      </w:r>
      <w:r>
        <w:rPr>
          <w:rFonts w:hint="eastAsia" w:ascii="Times New Roman" w:hAnsi="Times New Roman" w:eastAsia="仿宋_GB2312"/>
          <w:sz w:val="32"/>
          <w:szCs w:val="32"/>
          <w:highlight w:val="none"/>
        </w:rPr>
        <w:t>为</w:t>
      </w:r>
      <w:r>
        <w:rPr>
          <w:rFonts w:hint="eastAsia" w:ascii="Times New Roman" w:hAnsi="Times New Roman" w:eastAsia="仿宋_GB2312" w:cs="Times New Roman"/>
          <w:kern w:val="2"/>
          <w:sz w:val="32"/>
          <w:szCs w:val="32"/>
          <w:highlight w:val="none"/>
          <w:lang w:val="en-US" w:eastAsia="zh-CN" w:bidi="ar-SA"/>
        </w:rPr>
        <w:t>4077.39</w:t>
      </w:r>
      <w:r>
        <w:rPr>
          <w:rFonts w:hint="eastAsia" w:ascii="Times New Roman" w:hAnsi="Times New Roman" w:eastAsia="仿宋_GB2312"/>
          <w:sz w:val="32"/>
          <w:szCs w:val="32"/>
          <w:highlight w:val="none"/>
        </w:rPr>
        <w:t>万元，占年度总支出的</w:t>
      </w:r>
      <w:r>
        <w:rPr>
          <w:rFonts w:hint="eastAsia" w:ascii="Times New Roman" w:hAnsi="Times New Roman" w:eastAsia="仿宋_GB2312"/>
          <w:sz w:val="32"/>
          <w:szCs w:val="32"/>
          <w:highlight w:val="none"/>
          <w:lang w:val="en-US" w:eastAsia="zh-CN"/>
        </w:rPr>
        <w:t>41.58</w:t>
      </w:r>
      <w:r>
        <w:rPr>
          <w:rFonts w:hint="eastAsia" w:ascii="Times New Roman" w:hAnsi="Times New Roman" w:eastAsia="仿宋_GB2312"/>
          <w:sz w:val="32"/>
          <w:szCs w:val="32"/>
          <w:highlight w:val="none"/>
        </w:rPr>
        <w:t>%，其中工资福利支出</w:t>
      </w:r>
      <w:r>
        <w:rPr>
          <w:rFonts w:hint="eastAsia" w:ascii="Times New Roman" w:hAnsi="Times New Roman" w:eastAsia="仿宋_GB2312"/>
          <w:sz w:val="32"/>
          <w:szCs w:val="32"/>
          <w:highlight w:val="none"/>
          <w:lang w:val="en-US" w:eastAsia="zh-CN"/>
        </w:rPr>
        <w:t>3275.72</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80.34</w:t>
      </w:r>
      <w:r>
        <w:rPr>
          <w:rFonts w:hint="eastAsia" w:ascii="Times New Roman" w:hAnsi="Times New Roman" w:eastAsia="仿宋_GB2312"/>
          <w:sz w:val="32"/>
          <w:szCs w:val="32"/>
          <w:highlight w:val="none"/>
        </w:rPr>
        <w:t>%，商品和服务支出</w:t>
      </w:r>
      <w:r>
        <w:rPr>
          <w:rFonts w:hint="eastAsia" w:ascii="Times New Roman" w:hAnsi="Times New Roman" w:eastAsia="仿宋_GB2312"/>
          <w:sz w:val="32"/>
          <w:szCs w:val="32"/>
          <w:highlight w:val="none"/>
          <w:lang w:val="en-US" w:eastAsia="zh-CN"/>
        </w:rPr>
        <w:t>249.02</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6.11</w:t>
      </w:r>
      <w:r>
        <w:rPr>
          <w:rFonts w:hint="eastAsia" w:ascii="Times New Roman" w:hAnsi="Times New Roman" w:eastAsia="仿宋_GB2312"/>
          <w:sz w:val="32"/>
          <w:szCs w:val="32"/>
          <w:highlight w:val="none"/>
        </w:rPr>
        <w:t>%，对个人和家庭的补助</w:t>
      </w:r>
      <w:r>
        <w:rPr>
          <w:rFonts w:hint="eastAsia" w:ascii="Times New Roman" w:hAnsi="Times New Roman" w:eastAsia="仿宋_GB2312"/>
          <w:sz w:val="32"/>
          <w:szCs w:val="32"/>
          <w:highlight w:val="none"/>
          <w:lang w:val="en-US" w:eastAsia="zh-CN"/>
        </w:rPr>
        <w:t>547.01</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13.41</w:t>
      </w:r>
      <w:r>
        <w:rPr>
          <w:rFonts w:hint="eastAsia" w:ascii="Times New Roman" w:hAnsi="Times New Roman" w:eastAsia="仿宋_GB2312"/>
          <w:sz w:val="32"/>
          <w:szCs w:val="32"/>
          <w:highlight w:val="none"/>
        </w:rPr>
        <w:t>%，资本性支出</w:t>
      </w:r>
      <w:r>
        <w:rPr>
          <w:rFonts w:hint="eastAsia" w:ascii="Times New Roman" w:hAnsi="Times New Roman" w:eastAsia="仿宋_GB2312"/>
          <w:sz w:val="32"/>
          <w:szCs w:val="32"/>
          <w:highlight w:val="none"/>
          <w:lang w:val="en-US" w:eastAsia="zh-CN"/>
        </w:rPr>
        <w:t>5.64</w:t>
      </w:r>
      <w:r>
        <w:rPr>
          <w:rFonts w:hint="eastAsia" w:ascii="Times New Roman" w:hAnsi="Times New Roman" w:eastAsia="仿宋_GB2312"/>
          <w:sz w:val="32"/>
          <w:szCs w:val="32"/>
          <w:highlight w:val="none"/>
        </w:rPr>
        <w:t>万元,占基本支出的0.</w:t>
      </w:r>
      <w:r>
        <w:rPr>
          <w:rFonts w:hint="eastAsia" w:ascii="Times New Roman" w:hAnsi="Times New Roman" w:eastAsia="仿宋_GB2312"/>
          <w:sz w:val="32"/>
          <w:szCs w:val="32"/>
          <w:highlight w:val="none"/>
          <w:lang w:val="en-US" w:eastAsia="zh-CN"/>
        </w:rPr>
        <w:t>14</w:t>
      </w:r>
      <w:r>
        <w:rPr>
          <w:rFonts w:hint="eastAsia"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b w:val="0"/>
          <w:bCs w:val="0"/>
          <w:sz w:val="32"/>
          <w:szCs w:val="32"/>
        </w:rPr>
        <w:t>三公经费使用情况</w:t>
      </w:r>
      <w:r>
        <w:rPr>
          <w:rFonts w:hint="eastAsia" w:ascii="Times New Roman" w:hAnsi="Times New Roman" w:eastAsia="仿宋_GB2312"/>
          <w:b w:val="0"/>
          <w:bCs w:val="0"/>
          <w:sz w:val="32"/>
          <w:szCs w:val="32"/>
          <w:lang w:eastAsia="zh-CN"/>
        </w:rPr>
        <w:t>：</w:t>
      </w:r>
      <w:r>
        <w:rPr>
          <w:rFonts w:hint="eastAsia" w:ascii="Times New Roman" w:hAnsi="Times New Roman" w:eastAsia="仿宋_GB2312"/>
          <w:sz w:val="32"/>
          <w:szCs w:val="32"/>
        </w:rPr>
        <w:t>街道认真贯彻落实中央八项规定</w:t>
      </w:r>
      <w:r>
        <w:rPr>
          <w:rFonts w:hint="eastAsia" w:ascii="Times New Roman" w:hAnsi="Times New Roman" w:eastAsia="仿宋_GB2312"/>
          <w:sz w:val="32"/>
          <w:szCs w:val="32"/>
          <w:lang w:eastAsia="zh-CN"/>
        </w:rPr>
        <w:t>精神</w:t>
      </w:r>
      <w:r>
        <w:rPr>
          <w:rFonts w:hint="eastAsia" w:ascii="Times New Roman" w:hAnsi="Times New Roman" w:eastAsia="仿宋_GB2312"/>
          <w:sz w:val="32"/>
          <w:szCs w:val="32"/>
        </w:rPr>
        <w:t>、六项禁令、执行作风建设相关规定，</w:t>
      </w:r>
      <w:r>
        <w:rPr>
          <w:rFonts w:hint="eastAsia" w:ascii="Times New Roman" w:hAnsi="Times New Roman" w:eastAsia="仿宋_GB2312"/>
          <w:sz w:val="32"/>
          <w:szCs w:val="32"/>
          <w:lang w:eastAsia="zh-CN"/>
        </w:rPr>
        <w:t>厉</w:t>
      </w:r>
      <w:r>
        <w:rPr>
          <w:rFonts w:hint="eastAsia" w:ascii="Times New Roman" w:hAnsi="Times New Roman" w:eastAsia="仿宋_GB2312"/>
          <w:sz w:val="32"/>
          <w:szCs w:val="32"/>
        </w:rPr>
        <w:t>行节约，“三公”经费逐年下降，20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年的三公经费均控制在预算范围内，其中:因公出国出境费用本年度未发生经费支出，公务接待费预算数为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万，实际发生0万，公车运行维护费预算数为0万，实际发生0万。本年三公经费较上年度有明显减少</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b w:val="0"/>
          <w:bCs w:val="0"/>
          <w:sz w:val="32"/>
          <w:szCs w:val="32"/>
        </w:rPr>
        <w:t>项目支出主要包括</w:t>
      </w:r>
      <w:r>
        <w:rPr>
          <w:rFonts w:hint="eastAsia" w:ascii="Times New Roman" w:hAnsi="Times New Roman" w:eastAsia="仿宋_GB2312"/>
          <w:b w:val="0"/>
          <w:bCs w:val="0"/>
          <w:sz w:val="32"/>
          <w:szCs w:val="32"/>
          <w:lang w:eastAsia="zh-CN"/>
        </w:rPr>
        <w:t>：</w:t>
      </w:r>
      <w:r>
        <w:rPr>
          <w:rFonts w:hint="eastAsia" w:ascii="Times New Roman" w:hAnsi="Times New Roman" w:eastAsia="仿宋_GB2312"/>
          <w:sz w:val="32"/>
          <w:szCs w:val="32"/>
          <w:lang w:val="en-US" w:eastAsia="zh-CN"/>
        </w:rPr>
        <w:t>综合运转（含各条线）经费、社</w:t>
      </w:r>
      <w:bookmarkStart w:id="0" w:name="_GoBack"/>
      <w:bookmarkEnd w:id="0"/>
      <w:r>
        <w:rPr>
          <w:rFonts w:hint="eastAsia" w:ascii="Times New Roman" w:hAnsi="Times New Roman" w:eastAsia="仿宋_GB2312"/>
          <w:sz w:val="32"/>
          <w:szCs w:val="32"/>
          <w:lang w:val="en-US" w:eastAsia="zh-CN"/>
        </w:rPr>
        <w:t>区惠民资金、社区经费、环卫所经费</w:t>
      </w:r>
      <w:r>
        <w:rPr>
          <w:rFonts w:hint="eastAsia" w:ascii="Times New Roman" w:hAnsi="Times New Roman" w:eastAsia="仿宋_GB2312"/>
          <w:sz w:val="32"/>
          <w:szCs w:val="32"/>
        </w:rPr>
        <w:t>。</w:t>
      </w:r>
    </w:p>
    <w:p>
      <w:pPr>
        <w:adjustRightInd w:val="0"/>
        <w:snapToGrid w:val="0"/>
        <w:spacing w:line="600" w:lineRule="exact"/>
        <w:ind w:firstLine="640" w:firstLineChars="200"/>
        <w:rPr>
          <w:rFonts w:hint="eastAsia" w:ascii="Times New Roman" w:hAnsi="Times New Roman" w:eastAsia="仿宋_GB2312"/>
          <w:sz w:val="32"/>
          <w:szCs w:val="32"/>
          <w:highlight w:val="yellow"/>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年街道的</w:t>
      </w:r>
      <w:r>
        <w:rPr>
          <w:rFonts w:hint="eastAsia" w:ascii="Times New Roman" w:hAnsi="Times New Roman" w:eastAsia="仿宋_GB2312"/>
          <w:sz w:val="32"/>
          <w:szCs w:val="32"/>
          <w:highlight w:val="none"/>
        </w:rPr>
        <w:t>项目支出总额为</w:t>
      </w:r>
      <w:r>
        <w:rPr>
          <w:rFonts w:hint="eastAsia" w:ascii="Times New Roman" w:hAnsi="Times New Roman" w:eastAsia="仿宋_GB2312" w:cs="Times New Roman"/>
          <w:kern w:val="2"/>
          <w:sz w:val="32"/>
          <w:szCs w:val="32"/>
          <w:highlight w:val="none"/>
          <w:lang w:val="en-US" w:eastAsia="zh-CN" w:bidi="ar-SA"/>
        </w:rPr>
        <w:t>5727.62</w:t>
      </w:r>
      <w:r>
        <w:rPr>
          <w:rFonts w:hint="eastAsia" w:ascii="Times New Roman" w:hAnsi="Times New Roman" w:eastAsia="仿宋_GB2312"/>
          <w:sz w:val="32"/>
          <w:szCs w:val="32"/>
          <w:highlight w:val="none"/>
        </w:rPr>
        <w:t>万元，占年度总支出的</w:t>
      </w:r>
      <w:r>
        <w:rPr>
          <w:rFonts w:hint="eastAsia" w:ascii="Times New Roman" w:hAnsi="Times New Roman" w:eastAsia="仿宋_GB2312"/>
          <w:sz w:val="32"/>
          <w:szCs w:val="32"/>
          <w:highlight w:val="none"/>
          <w:lang w:val="en-US" w:eastAsia="zh-CN"/>
        </w:rPr>
        <w:t>58.42</w:t>
      </w:r>
      <w:r>
        <w:rPr>
          <w:rFonts w:hint="eastAsia" w:ascii="Times New Roman" w:hAnsi="Times New Roman" w:eastAsia="仿宋_GB2312"/>
          <w:sz w:val="32"/>
          <w:szCs w:val="32"/>
          <w:highlight w:val="none"/>
        </w:rPr>
        <w:t>%，其中工资福利支出</w:t>
      </w:r>
      <w:r>
        <w:rPr>
          <w:rFonts w:hint="eastAsia" w:ascii="Times New Roman" w:hAnsi="Times New Roman" w:eastAsia="仿宋_GB2312"/>
          <w:sz w:val="32"/>
          <w:szCs w:val="32"/>
          <w:highlight w:val="none"/>
          <w:lang w:val="en-US" w:eastAsia="zh-CN"/>
        </w:rPr>
        <w:t>1049.14</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18.32</w:t>
      </w:r>
      <w:r>
        <w:rPr>
          <w:rFonts w:hint="eastAsia" w:ascii="Times New Roman" w:hAnsi="Times New Roman" w:eastAsia="仿宋_GB2312"/>
          <w:sz w:val="32"/>
          <w:szCs w:val="32"/>
          <w:highlight w:val="none"/>
        </w:rPr>
        <w:t>%，商品和服务支出</w:t>
      </w:r>
      <w:r>
        <w:rPr>
          <w:rFonts w:hint="eastAsia" w:ascii="Times New Roman" w:hAnsi="Times New Roman" w:eastAsia="仿宋_GB2312"/>
          <w:sz w:val="32"/>
          <w:szCs w:val="32"/>
          <w:highlight w:val="none"/>
          <w:lang w:val="en-US" w:eastAsia="zh-CN"/>
        </w:rPr>
        <w:t>1122.31</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19.59</w:t>
      </w:r>
      <w:r>
        <w:rPr>
          <w:rFonts w:hint="eastAsia" w:ascii="Times New Roman" w:hAnsi="Times New Roman" w:eastAsia="仿宋_GB2312"/>
          <w:sz w:val="32"/>
          <w:szCs w:val="32"/>
          <w:highlight w:val="none"/>
        </w:rPr>
        <w:t>%，对个人和家庭的补助</w:t>
      </w:r>
      <w:r>
        <w:rPr>
          <w:rFonts w:hint="eastAsia" w:ascii="Times New Roman" w:hAnsi="Times New Roman" w:eastAsia="仿宋_GB2312"/>
          <w:sz w:val="32"/>
          <w:szCs w:val="32"/>
          <w:highlight w:val="none"/>
          <w:lang w:val="en-US" w:eastAsia="zh-CN"/>
        </w:rPr>
        <w:t>775.72</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13.54</w:t>
      </w:r>
      <w:r>
        <w:rPr>
          <w:rFonts w:hint="eastAsia" w:ascii="Times New Roman" w:hAnsi="Times New Roman" w:eastAsia="仿宋_GB2312"/>
          <w:sz w:val="32"/>
          <w:szCs w:val="32"/>
          <w:highlight w:val="none"/>
        </w:rPr>
        <w:t>%，资本性支出</w:t>
      </w:r>
      <w:r>
        <w:rPr>
          <w:rFonts w:hint="eastAsia" w:ascii="Times New Roman" w:hAnsi="Times New Roman" w:eastAsia="仿宋_GB2312"/>
          <w:sz w:val="32"/>
          <w:szCs w:val="32"/>
          <w:highlight w:val="none"/>
          <w:lang w:val="en-US" w:eastAsia="zh-CN"/>
        </w:rPr>
        <w:t>431.22</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7.53</w:t>
      </w:r>
      <w:r>
        <w:rPr>
          <w:rFonts w:hint="eastAsia" w:ascii="Times New Roman" w:hAnsi="Times New Roman" w:eastAsia="仿宋_GB2312"/>
          <w:sz w:val="32"/>
          <w:szCs w:val="32"/>
          <w:highlight w:val="none"/>
        </w:rPr>
        <w:t>%，对企业的补贴支出</w:t>
      </w:r>
      <w:r>
        <w:rPr>
          <w:rFonts w:hint="eastAsia" w:ascii="Times New Roman" w:hAnsi="Times New Roman" w:eastAsia="仿宋_GB2312"/>
          <w:sz w:val="32"/>
          <w:szCs w:val="32"/>
          <w:highlight w:val="none"/>
          <w:lang w:val="en-US" w:eastAsia="zh-CN"/>
        </w:rPr>
        <w:t>2349.23</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41.02</w:t>
      </w:r>
      <w:r>
        <w:rPr>
          <w:rFonts w:hint="eastAsia"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sz w:val="32"/>
          <w:szCs w:val="32"/>
        </w:rPr>
        <w:t>东屯渡街道办事处根据国家相关法规，结合单位实际，明确了人员分工及工作职责，建立健全机关管理制度，实行制度管人、管事、管权。进一步完善了财务管理制度，制定了《东屯渡街道财务管理办法》《内部财务管理控制制度》等规章制度，对资金、物资进行管理和使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严格按照财经纪律规范和使用财政资金，做到资金的使用均有完整的审批程序，并实行专人管理、转账核算、专款专用原则，使财政收支预算执行取得良好的实施效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eastAsia="仿宋_GB2312"/>
          <w:sz w:val="32"/>
          <w:szCs w:val="32"/>
          <w:lang w:val="en-US" w:eastAsia="zh-CN"/>
        </w:rPr>
        <w:t>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adjustRightInd w:val="0"/>
        <w:snapToGrid w:val="0"/>
        <w:spacing w:line="600" w:lineRule="exact"/>
        <w:ind w:firstLine="643" w:firstLineChars="200"/>
        <w:rPr>
          <w:rFonts w:hint="eastAsia" w:eastAsia="仿宋_GB2312"/>
          <w:sz w:val="32"/>
          <w:szCs w:val="32"/>
          <w:lang w:val="en-US" w:eastAsia="zh-CN"/>
        </w:rPr>
      </w:pPr>
      <w:r>
        <w:rPr>
          <w:rFonts w:hint="eastAsia" w:eastAsia="仿宋_GB2312"/>
          <w:b/>
          <w:bCs/>
          <w:sz w:val="32"/>
          <w:szCs w:val="32"/>
          <w:lang w:val="en-US" w:eastAsia="zh-CN"/>
        </w:rPr>
        <w:t>1、制度方面：</w:t>
      </w:r>
      <w:r>
        <w:rPr>
          <w:rFonts w:hint="eastAsia" w:eastAsia="仿宋_GB2312"/>
          <w:sz w:val="32"/>
          <w:szCs w:val="32"/>
          <w:lang w:val="en-US" w:eastAsia="zh-CN"/>
        </w:rPr>
        <w:t>以上级部门相关固定资产管理文件为依据建立健全的街道资产管理制度，合理配备并节约高效使用资产、提高资产使用效率，保障资产的安全和完整;  </w:t>
      </w:r>
    </w:p>
    <w:p>
      <w:pPr>
        <w:adjustRightInd w:val="0"/>
        <w:snapToGrid w:val="0"/>
        <w:spacing w:line="600" w:lineRule="exact"/>
        <w:ind w:firstLine="643" w:firstLineChars="200"/>
        <w:rPr>
          <w:rFonts w:hint="eastAsia" w:eastAsia="仿宋_GB2312"/>
          <w:sz w:val="32"/>
          <w:szCs w:val="32"/>
          <w:lang w:val="en-US" w:eastAsia="zh-CN"/>
        </w:rPr>
      </w:pPr>
      <w:r>
        <w:rPr>
          <w:rFonts w:hint="eastAsia" w:eastAsia="仿宋_GB2312"/>
          <w:b/>
          <w:bCs/>
          <w:sz w:val="32"/>
          <w:szCs w:val="32"/>
          <w:lang w:val="en-US" w:eastAsia="zh-CN"/>
        </w:rPr>
        <w:t>2、资产管理：</w:t>
      </w:r>
      <w:r>
        <w:rPr>
          <w:rFonts w:hint="eastAsia" w:eastAsia="仿宋_GB2312"/>
          <w:sz w:val="32"/>
          <w:szCs w:val="32"/>
          <w:lang w:val="en-US" w:eastAsia="zh-CN"/>
        </w:rPr>
        <w:t>由财政所进行账务登记及资产台账管理，由财政所牵头，联合各部门和社区按照谁使用、谁负责的原则进行实物管理及使用情况监督;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eastAsia" w:eastAsia="仿宋_GB2312"/>
          <w:b/>
          <w:bCs/>
          <w:sz w:val="32"/>
          <w:szCs w:val="32"/>
          <w:lang w:val="en-US" w:eastAsia="zh-CN"/>
        </w:rPr>
        <w:t>3、信息化建设方面：</w:t>
      </w:r>
      <w:r>
        <w:rPr>
          <w:rFonts w:hint="eastAsia" w:eastAsia="仿宋_GB2312"/>
          <w:sz w:val="32"/>
          <w:szCs w:val="32"/>
          <w:lang w:val="en-US" w:eastAsia="zh-CN"/>
        </w:rPr>
        <w:t>通过“长沙市行政事业资产管理信息系统”严格管理资产卡片，及时记录资产的增加、减少、使用等情况。真实地反映和监督资产的增减变动和实际情况，建立健全资产账簿体系</w:t>
      </w:r>
      <w:r>
        <w:rPr>
          <w:rFonts w:hint="default" w:ascii="Times New Roman" w:hAnsi="Times New Roman" w:eastAsia="仿宋_GB2312" w:cs="Times New Roman"/>
          <w:sz w:val="32"/>
          <w:szCs w:val="32"/>
        </w:rPr>
        <w:t>。</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、政府性基金预算支出情况</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lang w:val="en-US"/>
        </w:rPr>
      </w:pPr>
      <w:r>
        <w:rPr>
          <w:rFonts w:hint="eastAsia" w:eastAsia="仿宋_GB2312" w:cs="Times New Roman"/>
          <w:kern w:val="2"/>
          <w:sz w:val="32"/>
          <w:szCs w:val="32"/>
          <w:lang w:val="en-US" w:eastAsia="zh-CN" w:bidi="ar-SA"/>
        </w:rPr>
        <w:t>2022年度街道政府性基金预算支出总额17万元。其中扬帆社区篮球场提质改造专项经费支出10万元，主要用于社区篮球场提质改造经费开支。金科社区优秀居民公约补助专项经费支出2万元，主要用于社区优秀居民公约补助专项经费开支。</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eastAsia" w:ascii="Calibri" w:hAnsi="Calibri" w:eastAsia="仿宋_GB2312" w:cs="Times New Roman"/>
          <w:kern w:val="2"/>
          <w:sz w:val="32"/>
          <w:szCs w:val="32"/>
          <w:lang w:val="en-US" w:eastAsia="zh-CN" w:bidi="ar-SA"/>
        </w:rPr>
        <w:t>我街道无国有资本经营预算支出情况</w:t>
      </w:r>
      <w:r>
        <w:rPr>
          <w:rFonts w:hint="eastAsia" w:eastAsia="仿宋_GB2312" w:cs="Times New Roman"/>
          <w:kern w:val="2"/>
          <w:sz w:val="32"/>
          <w:szCs w:val="32"/>
          <w:lang w:val="en-US" w:eastAsia="zh-CN" w:bidi="ar-SA"/>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eastAsia" w:ascii="Calibri" w:hAnsi="Calibri" w:eastAsia="仿宋_GB2312" w:cs="Times New Roman"/>
          <w:kern w:val="2"/>
          <w:sz w:val="32"/>
          <w:szCs w:val="32"/>
          <w:lang w:val="en-US" w:eastAsia="zh-CN" w:bidi="ar-SA"/>
        </w:rPr>
        <w:t>我街道无国有资本经营预算支出情况</w:t>
      </w:r>
      <w:r>
        <w:rPr>
          <w:rFonts w:hint="eastAsia"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、部门整体支出绩效情况</w:t>
      </w:r>
    </w:p>
    <w:p>
      <w:pPr>
        <w:adjustRightInd w:val="0"/>
        <w:snapToGrid w:val="0"/>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年，街道根据区年初工作规划和重点性工作，围绕</w:t>
      </w:r>
      <w:r>
        <w:rPr>
          <w:rFonts w:hint="eastAsia" w:ascii="Times New Roman" w:hAnsi="Times New Roman" w:eastAsia="仿宋_GB2312"/>
          <w:sz w:val="32"/>
          <w:szCs w:val="32"/>
          <w:lang w:eastAsia="zh-CN"/>
        </w:rPr>
        <w:t>经济发展和民生建设</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落实</w:t>
      </w:r>
      <w:r>
        <w:rPr>
          <w:rFonts w:hint="eastAsia" w:ascii="Times New Roman" w:hAnsi="Times New Roman" w:eastAsia="仿宋_GB2312"/>
          <w:sz w:val="32"/>
          <w:szCs w:val="32"/>
        </w:rPr>
        <w:t>全面建成小康社会的发展宏图，积极履职，强</w:t>
      </w:r>
      <w:r>
        <w:rPr>
          <w:rFonts w:hint="eastAsia" w:ascii="Times New Roman" w:hAnsi="Times New Roman" w:eastAsia="仿宋_GB2312"/>
          <w:sz w:val="32"/>
          <w:szCs w:val="32"/>
          <w:highlight w:val="none"/>
        </w:rPr>
        <w:t>化管理，较好地完成了年度工作目标。通过加强预算收支管理，不断建立健全的内部管理体制，在年底还开展了</w:t>
      </w:r>
      <w:r>
        <w:rPr>
          <w:rFonts w:hint="eastAsia" w:ascii="Times New Roman" w:hAnsi="Times New Roman" w:eastAsia="仿宋_GB2312"/>
          <w:sz w:val="32"/>
          <w:szCs w:val="32"/>
          <w:highlight w:val="none"/>
          <w:lang w:eastAsia="zh-CN"/>
        </w:rPr>
        <w:t>垃圾分类专项资金检查及财政资金政务公开检查</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更加清晰了</w:t>
      </w:r>
      <w:r>
        <w:rPr>
          <w:rFonts w:hint="eastAsia" w:ascii="Times New Roman" w:hAnsi="Times New Roman" w:eastAsia="仿宋_GB2312"/>
          <w:sz w:val="32"/>
          <w:szCs w:val="32"/>
          <w:highlight w:val="none"/>
        </w:rPr>
        <w:t>内部管理流程，部门整体支出管理情况得到了提升。部门整体支出绩效评价情况如下:</w:t>
      </w:r>
    </w:p>
    <w:p>
      <w:pPr>
        <w:adjustRightInd w:val="0"/>
        <w:snapToGrid w:val="0"/>
        <w:spacing w:line="60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(一)经济性评价</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三公经费使用控制较好。项目经费严格按照要求支付，做到专款专用。</w:t>
      </w:r>
    </w:p>
    <w:p>
      <w:pPr>
        <w:adjustRightInd w:val="0"/>
        <w:snapToGrid w:val="0"/>
        <w:spacing w:line="60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(二)行政效能评价</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为强化部门整体支出，加强国有资产管理，提高资金使用效益，提升财务管理，建立节约型机关，20</w:t>
      </w:r>
      <w:r>
        <w:rPr>
          <w:rFonts w:hint="eastAsia" w:ascii="Times New Roman" w:hAnsi="Times New Roman" w:eastAsia="仿宋_GB2312"/>
          <w:sz w:val="32"/>
          <w:szCs w:val="32"/>
          <w:lang w:val="en-US" w:eastAsia="zh-CN"/>
        </w:rPr>
        <w:t>212</w:t>
      </w:r>
      <w:r>
        <w:rPr>
          <w:rFonts w:hint="eastAsia" w:ascii="Times New Roman" w:hAnsi="Times New Roman" w:eastAsia="仿宋_GB2312"/>
          <w:sz w:val="32"/>
          <w:szCs w:val="32"/>
        </w:rPr>
        <w:t>，街道在强化业务管理、财务管理和厉行节约方面开展了大量工作，行政效能显著。</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、严格规范：</w:t>
      </w:r>
      <w:r>
        <w:rPr>
          <w:rFonts w:hint="eastAsia" w:ascii="Times New Roman" w:hAnsi="Times New Roman" w:eastAsia="仿宋_GB2312"/>
          <w:sz w:val="32"/>
          <w:szCs w:val="32"/>
        </w:rPr>
        <w:t>严格执行国库集中支付、公务卡结算制度、政府采购等有关规定，政府采购目录内的货物与服务全部按要求实施了政府采购，确保了支出管理流程、审批手续的完整。</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强化资金使用的监督管理及预算管理</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一是规范安全生产培训、宣传、专家咨询活动，严格办公用房管理等，控制办公经费开支;二是严格财务管理，严格财务审核把关，对各科室实行经费支出限额管理，严控经费支出，落实项目资金专款专用。</w:t>
      </w:r>
    </w:p>
    <w:p>
      <w:pPr>
        <w:adjustRightInd w:val="0"/>
        <w:snapToGrid w:val="0"/>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(三)项目产出及社会效益评价</w:t>
      </w:r>
    </w:p>
    <w:p>
      <w:pPr>
        <w:adjustRightInd w:val="0"/>
        <w:snapToGrid w:val="0"/>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党的建设开创新局面。</w:t>
      </w:r>
      <w:r>
        <w:rPr>
          <w:rFonts w:hint="eastAsia" w:ascii="Times New Roman" w:hAnsi="Times New Roman" w:eastAsia="仿宋_GB2312"/>
          <w:sz w:val="32"/>
          <w:szCs w:val="32"/>
          <w:lang w:eastAsia="zh-CN"/>
        </w:rPr>
        <w:t>以小区党支部为核心，在“面”上基本建成五级治理体系，并将微党建工作推进楼栋、居民家中。全方位壮大主流舆论阵地，整治意识形态风险隐患，处置网络舆情。坚持逢会必提作风、逢会必讲纪律，做到“预防针”常打、“警示钟”常敲、“廉正风”常吹。在库室建设、制度规范等方面积极探索和创新，以基层民兵组织规范化建设为立足点，深入推进民兵整组、拥军优属等各项工作</w:t>
      </w:r>
      <w:r>
        <w:rPr>
          <w:rFonts w:hint="eastAsia" w:ascii="Times New Roman" w:hAnsi="Times New Roman" w:eastAsia="仿宋_GB2312"/>
          <w:b w:val="0"/>
          <w:bCs w:val="0"/>
          <w:sz w:val="32"/>
          <w:szCs w:val="32"/>
          <w:highlight w:val="none"/>
        </w:rPr>
        <w:t>。</w:t>
      </w:r>
      <w:r>
        <w:rPr>
          <w:rFonts w:hint="eastAsia" w:ascii="Times New Roman" w:hAnsi="Times New Roman" w:eastAsia="仿宋_GB2312"/>
          <w:sz w:val="32"/>
          <w:szCs w:val="32"/>
          <w:highlight w:val="none"/>
        </w:rPr>
        <w:t> </w:t>
      </w:r>
    </w:p>
    <w:p>
      <w:pPr>
        <w:adjustRightInd w:val="0"/>
        <w:snapToGrid w:val="0"/>
        <w:spacing w:line="600" w:lineRule="exact"/>
        <w:ind w:firstLine="640" w:firstLineChars="200"/>
        <w:rPr>
          <w:rFonts w:hint="eastAsia" w:ascii="Times New Roman" w:hAnsi="Times New Roman" w:eastAsia="仿宋_GB2312"/>
          <w:b w:val="0"/>
          <w:bCs w:val="0"/>
          <w:sz w:val="32"/>
          <w:szCs w:val="32"/>
          <w:highlight w:val="none"/>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经济发展释放新动能。</w:t>
      </w:r>
      <w:r>
        <w:rPr>
          <w:rFonts w:hint="eastAsia" w:ascii="Times New Roman" w:hAnsi="Times New Roman" w:eastAsia="仿宋_GB2312"/>
          <w:sz w:val="32"/>
          <w:szCs w:val="32"/>
          <w:lang w:eastAsia="zh-CN"/>
        </w:rPr>
        <w:t>经济指标企稳向好，项目建设有序推进，招商引资步伐坚定，引导全街工作人员积极投身经济建设，积极对接服务企业</w:t>
      </w:r>
      <w:r>
        <w:rPr>
          <w:rFonts w:hint="eastAsia" w:ascii="Times New Roman" w:hAnsi="Times New Roman" w:eastAsia="仿宋_GB2312"/>
          <w:b w:val="0"/>
          <w:bCs w:val="0"/>
          <w:sz w:val="32"/>
          <w:szCs w:val="32"/>
        </w:rPr>
        <w:t>。</w:t>
      </w:r>
    </w:p>
    <w:p>
      <w:pPr>
        <w:adjustRightInd w:val="0"/>
        <w:snapToGrid w:val="0"/>
        <w:spacing w:line="600" w:lineRule="exact"/>
        <w:ind w:firstLine="640" w:firstLineChars="200"/>
        <w:rPr>
          <w:rFonts w:hint="eastAsia" w:ascii="Times New Roman" w:hAnsi="Times New Roman" w:eastAsia="仿宋_GB2312"/>
          <w:b w:val="0"/>
          <w:bCs w:val="0"/>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城市管理呈现新面貌。</w:t>
      </w:r>
      <w:r>
        <w:rPr>
          <w:rFonts w:hint="eastAsia" w:ascii="Times New Roman" w:hAnsi="Times New Roman" w:eastAsia="仿宋_GB2312"/>
          <w:sz w:val="32"/>
          <w:szCs w:val="32"/>
          <w:lang w:eastAsia="zh-CN"/>
        </w:rPr>
        <w:t>推进市容环境提升，开展“周末大扫除”，营造居民积极参与、卫生环境持续向好的良好氛围。组建网格化工作领导小组，网格员在网格中发现问题、解决问题、收集民意。探索开放式小区智慧物业管理方式，推动成立居民自治组织“小区物业管理事务服务指导中心”</w:t>
      </w:r>
      <w:r>
        <w:rPr>
          <w:rFonts w:hint="eastAsia" w:ascii="Times New Roman" w:hAnsi="Times New Roman" w:eastAsia="仿宋_GB2312"/>
          <w:b w:val="0"/>
          <w:bCs w:val="0"/>
          <w:sz w:val="32"/>
          <w:szCs w:val="32"/>
          <w:lang w:eastAsia="zh-CN"/>
        </w:rPr>
        <w:t>。</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守护安全彰显新担当。</w:t>
      </w:r>
      <w:r>
        <w:rPr>
          <w:rFonts w:hint="eastAsia" w:ascii="Times New Roman" w:hAnsi="Times New Roman" w:eastAsia="仿宋_GB2312"/>
          <w:sz w:val="32"/>
          <w:szCs w:val="32"/>
          <w:lang w:eastAsia="zh-CN"/>
        </w:rPr>
        <w:t>持续健全扬帆夜市安全管控体系，建立安全管理制度和应急处突队伍，统筹燃气、食品、交通、消防、治安、应急、环境卫生等领域工作，全面消除安全隐患，切实筑牢安全防线，营造繁荣、有序的夜间消费环境，高标准建设夜间经济示范区。</w:t>
      </w:r>
      <w:r>
        <w:rPr>
          <w:rFonts w:hint="eastAsia" w:ascii="Times New Roman" w:hAnsi="Times New Roman" w:eastAsia="仿宋_GB2312"/>
          <w:sz w:val="32"/>
          <w:szCs w:val="32"/>
          <w:highlight w:val="none"/>
        </w:rPr>
        <w:t> </w:t>
      </w:r>
    </w:p>
    <w:p>
      <w:pPr>
        <w:adjustRightInd w:val="0"/>
        <w:snapToGrid w:val="0"/>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sz w:val="32"/>
          <w:szCs w:val="32"/>
        </w:rPr>
        <w:t>5</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平安建设焕发新活力。</w:t>
      </w:r>
      <w:r>
        <w:rPr>
          <w:rFonts w:hint="eastAsia" w:ascii="Times New Roman" w:hAnsi="Times New Roman" w:eastAsia="仿宋_GB2312"/>
          <w:sz w:val="32"/>
          <w:szCs w:val="32"/>
          <w:lang w:eastAsia="zh-CN"/>
        </w:rPr>
        <w:t>强化夜间综治大巡查力度，维护治安秩序稳定，不断拓宽全民禁毒、反电诈、扫黄打非、法治宣传覆盖面，严格实行24小时值班备勤和领导接访制度，加强对街道重点维稳对象教育疏导和稳控</w:t>
      </w:r>
      <w:r>
        <w:rPr>
          <w:rFonts w:hint="default" w:ascii="Times New Roman" w:hAnsi="Times New Roman" w:eastAsia="仿宋_GB2312"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eastAsia="宋体"/>
          <w:b w:val="0"/>
          <w:bCs w:val="0"/>
          <w:lang w:val="en-US" w:eastAsia="zh-CN"/>
        </w:rPr>
      </w:pPr>
      <w:r>
        <w:rPr>
          <w:rFonts w:hint="eastAsia" w:eastAsia="仿宋_GB2312"/>
          <w:lang w:val="en-US" w:eastAsia="zh-CN"/>
        </w:rPr>
        <w:t xml:space="preserve">    </w:t>
      </w:r>
      <w:r>
        <w:rPr>
          <w:rFonts w:hint="eastAsia" w:ascii="Times New Roman" w:hAnsi="Times New Roman" w:eastAsia="仿宋_GB2312" w:cs="Times New Roman"/>
          <w:kern w:val="2"/>
          <w:sz w:val="32"/>
          <w:szCs w:val="32"/>
          <w:lang w:val="en-US" w:eastAsia="zh-CN" w:bidi="ar-SA"/>
        </w:rPr>
        <w:t xml:space="preserve">  6、</w:t>
      </w:r>
      <w:r>
        <w:rPr>
          <w:rFonts w:hint="eastAsia" w:ascii="Times New Roman" w:hAnsi="Times New Roman" w:eastAsia="仿宋_GB2312" w:cs="Times New Roman"/>
          <w:b/>
          <w:bCs/>
          <w:kern w:val="2"/>
          <w:sz w:val="32"/>
          <w:szCs w:val="32"/>
          <w:lang w:val="en-US" w:eastAsia="zh-CN" w:bidi="ar-SA"/>
        </w:rPr>
        <w:t>幸福指数达到新高度。</w:t>
      </w:r>
      <w:r>
        <w:rPr>
          <w:rFonts w:hint="eastAsia" w:ascii="Times New Roman" w:hAnsi="Times New Roman" w:eastAsia="仿宋_GB2312" w:cs="Times New Roman"/>
          <w:kern w:val="2"/>
          <w:sz w:val="32"/>
          <w:szCs w:val="32"/>
          <w:lang w:val="en-US" w:eastAsia="zh-CN" w:bidi="ar-SA"/>
        </w:rPr>
        <w:t>科学统筹疫情防控，动态调整防控手段，强化疫苗接种进度保障，构筑免疫屏障。为困难人员提供低保救助、慈善助困、五帮扶、临时救助。整合“雨后彩虹”爱心协会、“幸福扬帆 和美家园”爱心商家工作室等帮扶力量。提供创业培训等精准就业服务。</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rPr>
        <w:t>1</w:t>
      </w:r>
      <w:r>
        <w:rPr>
          <w:rFonts w:hint="eastAsia" w:eastAsia="仿宋_GB2312"/>
          <w:b/>
          <w:bCs/>
          <w:sz w:val="32"/>
          <w:szCs w:val="32"/>
          <w:lang w:eastAsia="zh-CN"/>
        </w:rPr>
        <w:t>、</w:t>
      </w:r>
      <w:r>
        <w:rPr>
          <w:rFonts w:hint="eastAsia" w:eastAsia="仿宋_GB2312"/>
          <w:b/>
          <w:bCs/>
          <w:sz w:val="32"/>
          <w:szCs w:val="32"/>
        </w:rPr>
        <w:t>绩效评价工作机制有待进一步完善</w:t>
      </w:r>
      <w:r>
        <w:rPr>
          <w:rFonts w:hint="eastAsia" w:eastAsia="仿宋_GB2312"/>
          <w:b/>
          <w:bCs/>
          <w:sz w:val="32"/>
          <w:szCs w:val="32"/>
          <w:lang w:eastAsia="zh-CN"/>
        </w:rPr>
        <w:t>。</w:t>
      </w:r>
      <w:r>
        <w:rPr>
          <w:rFonts w:hint="eastAsia" w:eastAsia="仿宋_GB2312"/>
          <w:sz w:val="32"/>
          <w:szCs w:val="32"/>
        </w:rPr>
        <w:t>由于在平时工作中未加强对绩效监控工作的重视，绩效监控工作容易滞后，未形成对绩效目标进行监控的习惯。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eastAsia="仿宋_GB2312"/>
          <w:b/>
          <w:bCs/>
          <w:sz w:val="32"/>
          <w:szCs w:val="32"/>
        </w:rPr>
        <w:t>2</w:t>
      </w:r>
      <w:r>
        <w:rPr>
          <w:rFonts w:hint="eastAsia" w:eastAsia="仿宋_GB2312"/>
          <w:b/>
          <w:bCs/>
          <w:sz w:val="32"/>
          <w:szCs w:val="32"/>
          <w:lang w:eastAsia="zh-CN"/>
        </w:rPr>
        <w:t>、</w:t>
      </w:r>
      <w:r>
        <w:rPr>
          <w:rFonts w:hint="eastAsia" w:eastAsia="仿宋_GB2312"/>
          <w:b/>
          <w:bCs/>
          <w:sz w:val="32"/>
          <w:szCs w:val="32"/>
        </w:rPr>
        <w:t>预算编制工作有待细化。</w:t>
      </w:r>
      <w:r>
        <w:rPr>
          <w:rFonts w:hint="eastAsia" w:eastAsia="仿宋_GB2312"/>
          <w:sz w:val="32"/>
          <w:szCs w:val="32"/>
        </w:rPr>
        <w:t>预算编制不够明确和细化，预算编制的合理性需要提高。预算执行力度还要进一步加强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、下一步改进措施</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rPr>
        <w:t>1</w:t>
      </w:r>
      <w:r>
        <w:rPr>
          <w:rFonts w:hint="eastAsia" w:eastAsia="仿宋_GB2312"/>
          <w:b/>
          <w:bCs/>
          <w:sz w:val="32"/>
          <w:szCs w:val="32"/>
          <w:lang w:eastAsia="zh-CN"/>
        </w:rPr>
        <w:t>、</w:t>
      </w:r>
      <w:r>
        <w:rPr>
          <w:rFonts w:hint="eastAsia" w:eastAsia="仿宋_GB2312"/>
          <w:b/>
          <w:bCs/>
          <w:sz w:val="32"/>
          <w:szCs w:val="32"/>
        </w:rPr>
        <w:t>制定合理的年度工作计划和年度经费支出预算，确保全年经费支出均衡</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eastAsia="仿宋_GB2312"/>
          <w:sz w:val="32"/>
          <w:szCs w:val="32"/>
        </w:rPr>
      </w:pPr>
      <w:r>
        <w:rPr>
          <w:rFonts w:hint="eastAsia" w:eastAsia="仿宋_GB2312"/>
          <w:b/>
          <w:bCs/>
          <w:sz w:val="32"/>
          <w:szCs w:val="32"/>
        </w:rPr>
        <w:t>2</w:t>
      </w:r>
      <w:r>
        <w:rPr>
          <w:rFonts w:hint="eastAsia" w:eastAsia="仿宋_GB2312"/>
          <w:b/>
          <w:bCs/>
          <w:sz w:val="32"/>
          <w:szCs w:val="32"/>
          <w:lang w:eastAsia="zh-CN"/>
        </w:rPr>
        <w:t>、</w:t>
      </w:r>
      <w:r>
        <w:rPr>
          <w:rFonts w:hint="eastAsia" w:eastAsia="仿宋_GB2312"/>
          <w:b/>
          <w:bCs/>
          <w:sz w:val="32"/>
          <w:szCs w:val="32"/>
        </w:rPr>
        <w:t>建立和完善内部控制建设，形成系统的内部财务管理制度。</w:t>
      </w:r>
      <w:r>
        <w:rPr>
          <w:rFonts w:hint="eastAsia" w:eastAsia="仿宋_GB2312"/>
          <w:sz w:val="32"/>
          <w:szCs w:val="32"/>
        </w:rPr>
        <w:t>加强对专项资金的管理，按工作要求加快专项资金下达及使用进度，切实发挥资金效益。</w:t>
      </w:r>
    </w:p>
    <w:p>
      <w:pPr>
        <w:pStyle w:val="2"/>
        <w:keepNext w:val="0"/>
        <w:keepLines w:val="0"/>
        <w:pageBreakBefore w:val="0"/>
        <w:widowControl w:val="0"/>
        <w:kinsoku/>
        <w:wordWrap/>
        <w:overflowPunct/>
        <w:topLinePunct w:val="0"/>
        <w:autoSpaceDE/>
        <w:autoSpaceDN/>
        <w:bidi w:val="0"/>
        <w:spacing w:line="600" w:lineRule="exact"/>
        <w:ind w:left="0" w:leftChars="0" w:firstLine="643" w:firstLineChars="200"/>
        <w:textAlignment w:val="auto"/>
        <w:rPr>
          <w:rFonts w:hint="eastAsia" w:eastAsia="仿宋_GB2312"/>
          <w:lang w:eastAsia="zh-CN"/>
        </w:rPr>
      </w:pPr>
      <w:r>
        <w:rPr>
          <w:rFonts w:hint="eastAsia" w:eastAsia="仿宋_GB2312"/>
          <w:b/>
          <w:bCs/>
          <w:sz w:val="32"/>
          <w:szCs w:val="32"/>
        </w:rPr>
        <w:t>3</w:t>
      </w:r>
      <w:r>
        <w:rPr>
          <w:rFonts w:hint="eastAsia" w:eastAsia="仿宋_GB2312"/>
          <w:b/>
          <w:bCs/>
          <w:sz w:val="32"/>
          <w:szCs w:val="32"/>
          <w:lang w:eastAsia="zh-CN"/>
        </w:rPr>
        <w:t>、</w:t>
      </w:r>
      <w:r>
        <w:rPr>
          <w:rFonts w:hint="eastAsia" w:eastAsia="仿宋_GB2312"/>
          <w:b/>
          <w:bCs/>
          <w:sz w:val="32"/>
          <w:szCs w:val="32"/>
        </w:rPr>
        <w:t>在以后的日常预算管理过程中</w:t>
      </w:r>
      <w:r>
        <w:rPr>
          <w:rFonts w:hint="eastAsia" w:eastAsia="仿宋_GB2312"/>
          <w:b/>
          <w:bCs/>
          <w:sz w:val="32"/>
          <w:szCs w:val="32"/>
          <w:lang w:eastAsia="zh-CN"/>
        </w:rPr>
        <w:t>。</w:t>
      </w:r>
      <w:r>
        <w:rPr>
          <w:rFonts w:hint="eastAsia" w:eastAsia="仿宋_GB2312"/>
          <w:sz w:val="32"/>
          <w:szCs w:val="32"/>
        </w:rPr>
        <w:t>进一步加强对资金的管控能力，加强预算资金的审核及预算执行情况的分析等</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、绩效自评结果拟应用和公开情况</w:t>
      </w:r>
    </w:p>
    <w:p>
      <w:pPr>
        <w:pStyle w:val="2"/>
        <w:ind w:left="0" w:leftChars="0" w:firstLine="640" w:firstLineChars="200"/>
        <w:rPr>
          <w:rFonts w:hint="eastAsia" w:eastAsia="黑体"/>
          <w:lang w:eastAsia="zh-CN"/>
        </w:rPr>
      </w:pPr>
      <w:r>
        <w:rPr>
          <w:rFonts w:hint="eastAsia" w:ascii="仿宋" w:hAnsi="仿宋" w:eastAsia="仿宋" w:cs="仿宋"/>
          <w:sz w:val="32"/>
          <w:szCs w:val="32"/>
          <w:lang w:eastAsia="zh-CN"/>
        </w:rPr>
        <w:t>随决算一起公开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pStyle w:val="2"/>
        <w:ind w:left="0" w:leftChars="0" w:firstLine="640" w:firstLineChars="200"/>
        <w:rPr>
          <w:rFonts w:hint="eastAsia" w:ascii="仿宋" w:hAnsi="仿宋" w:eastAsia="仿宋" w:cs="仿宋"/>
          <w:lang w:eastAsia="zh-CN"/>
        </w:rPr>
      </w:pPr>
      <w:r>
        <w:rPr>
          <w:rFonts w:hint="eastAsia" w:ascii="仿宋" w:hAnsi="仿宋" w:eastAsia="仿宋" w:cs="仿宋"/>
          <w:sz w:val="32"/>
          <w:szCs w:val="32"/>
          <w:lang w:eastAsia="zh-CN"/>
        </w:rPr>
        <w:t>无</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eastAsia="zh-CN"/>
        </w:rPr>
        <w:t>长沙市芙蓉区东屯渡街道办事处</w:t>
      </w:r>
    </w:p>
    <w:p>
      <w:pPr>
        <w:adjustRightInd w:val="0"/>
        <w:snapToGrid w:val="0"/>
        <w:spacing w:line="600" w:lineRule="exact"/>
        <w:ind w:firstLine="640" w:firstLineChars="200"/>
        <w:rPr>
          <w:rFonts w:hint="default" w:ascii="Times New Roman" w:hAnsi="Times New Roman" w:eastAsia="黑体" w:cs="Times New Roman"/>
          <w:kern w:val="0"/>
          <w:sz w:val="32"/>
          <w:szCs w:val="32"/>
          <w:lang w:val="en-US" w:eastAsia="zh-CN"/>
        </w:rPr>
        <w:sectPr>
          <w:footerReference r:id="rId3" w:type="default"/>
          <w:pgSz w:w="11906" w:h="16838"/>
          <w:pgMar w:top="1474" w:right="1587" w:bottom="1474" w:left="1587" w:header="851" w:footer="992" w:gutter="0"/>
          <w:cols w:space="720" w:num="1"/>
          <w:docGrid w:type="lines" w:linePitch="323" w:charSpace="0"/>
        </w:sectPr>
      </w:pPr>
      <w:r>
        <w:rPr>
          <w:rFonts w:hint="default" w:ascii="Times New Roman" w:hAnsi="Times New Roman" w:eastAsia="黑体" w:cs="Times New Roman"/>
          <w:kern w:val="0"/>
          <w:sz w:val="32"/>
          <w:szCs w:val="32"/>
        </w:rPr>
        <w:t xml:space="preserve">                     日    期</w:t>
      </w:r>
      <w:r>
        <w:rPr>
          <w:rFonts w:hint="eastAsia" w:ascii="Times New Roman" w:hAnsi="Times New Roman" w:eastAsia="黑体" w:cs="Times New Roman"/>
          <w:kern w:val="0"/>
          <w:sz w:val="32"/>
          <w:szCs w:val="32"/>
          <w:lang w:eastAsia="zh-CN"/>
        </w:rPr>
        <w:t>：</w:t>
      </w:r>
      <w:r>
        <w:rPr>
          <w:rFonts w:hint="eastAsia" w:ascii="Times New Roman" w:hAnsi="Times New Roman" w:eastAsia="黑体" w:cs="Times New Roman"/>
          <w:kern w:val="0"/>
          <w:sz w:val="32"/>
          <w:szCs w:val="32"/>
          <w:lang w:val="en-US" w:eastAsia="zh-CN"/>
        </w:rPr>
        <w:t>2023年6月28日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43598"/>
    <w:multiLevelType w:val="singleLevel"/>
    <w:tmpl w:val="9284359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jZiNjkwOGE3YzdhZWU1NmQwZmI3MzlhNGRiZTEifQ=="/>
  </w:docVars>
  <w:rsids>
    <w:rsidRoot w:val="491F7D96"/>
    <w:rsid w:val="034B2C97"/>
    <w:rsid w:val="089F5160"/>
    <w:rsid w:val="3A06076A"/>
    <w:rsid w:val="3FBF1FCC"/>
    <w:rsid w:val="412102CB"/>
    <w:rsid w:val="491F7D96"/>
    <w:rsid w:val="493A38B8"/>
    <w:rsid w:val="4DBB7A1A"/>
    <w:rsid w:val="54E52D37"/>
    <w:rsid w:val="5B213617"/>
    <w:rsid w:val="5DAA27F0"/>
    <w:rsid w:val="6A2D1987"/>
    <w:rsid w:val="735A5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2"/>
    <w:basedOn w:val="5"/>
    <w:qFormat/>
    <w:uiPriority w:val="0"/>
    <w:rPr>
      <w:rFonts w:hint="eastAsia" w:ascii="宋体" w:hAnsi="宋体" w:eastAsia="宋体" w:cs="宋体"/>
      <w:b/>
      <w:bCs/>
      <w:color w:val="000000"/>
      <w:sz w:val="32"/>
      <w:szCs w:val="32"/>
      <w:u w:val="none"/>
    </w:rPr>
  </w:style>
  <w:style w:type="paragraph"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4038</Words>
  <Characters>4259</Characters>
  <Lines>0</Lines>
  <Paragraphs>0</Paragraphs>
  <TotalTime>6</TotalTime>
  <ScaleCrop>false</ScaleCrop>
  <LinksUpToDate>false</LinksUpToDate>
  <CharactersWithSpaces>4345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2023-06-13T07:09:00Z</dcterms:created>
  <dc:creator>lo</dc:creator>
  <cp:lastModifiedBy>Administrator</cp:lastModifiedBy>
  <cp:lastPrinted>2023-06-28T07:43:00Z</cp:lastPrinted>
  <dcterms:modified xsi:type="dcterms:W3CDTF">2023-10-09T05:17:30Z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A229918661304B348761AC0D93C6A92D</vt:lpwstr>
  </property>
</Properties>
</file>