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eastAsia="方正小标宋简体"/>
          <w:b/>
          <w:sz w:val="44"/>
          <w:szCs w:val="44"/>
        </w:rPr>
      </w:pPr>
      <w:r>
        <w:rPr>
          <w:rFonts w:hint="eastAsia" w:eastAsia="方正小标宋简体"/>
          <w:b/>
          <w:sz w:val="44"/>
          <w:szCs w:val="44"/>
        </w:rPr>
        <w:t>2021年度</w:t>
      </w:r>
      <w:r>
        <w:rPr>
          <w:rFonts w:hint="eastAsia" w:ascii="Microsoft Sans Serif" w:hAnsi="Microsoft Sans Serif" w:eastAsia="方正小标宋简体" w:cs="Microsoft Sans Serif"/>
          <w:b/>
          <w:sz w:val="44"/>
          <w:szCs w:val="44"/>
        </w:rPr>
        <w:t>韭菜园街道办事处</w:t>
      </w:r>
      <w:r>
        <w:rPr>
          <w:rFonts w:hint="eastAsia" w:eastAsia="方正小标宋简体"/>
          <w:b/>
          <w:sz w:val="44"/>
          <w:szCs w:val="44"/>
        </w:rPr>
        <w:t>部门整体支出绩效评价报告</w:t>
      </w:r>
    </w:p>
    <w:p>
      <w:pPr>
        <w:adjustRightInd w:val="0"/>
        <w:snapToGrid w:val="0"/>
        <w:spacing w:line="560" w:lineRule="exact"/>
        <w:ind w:firstLine="640" w:firstLineChars="200"/>
        <w:rPr>
          <w:rFonts w:ascii="仿宋" w:hAnsi="仿宋" w:eastAsia="仿宋" w:cs="仿宋_GB2312"/>
          <w:b/>
          <w:sz w:val="32"/>
          <w:szCs w:val="32"/>
        </w:rPr>
      </w:pPr>
      <w:r>
        <w:rPr>
          <w:rFonts w:hint="eastAsia" w:eastAsia="黑体"/>
          <w:sz w:val="32"/>
          <w:szCs w:val="32"/>
        </w:rPr>
        <w:t>一、部门概况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（一）部门基本情况</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1、组织机构设置情况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街道地处长沙市中心城区，是全省政治、经济、文化交流中心。东起蓉园路、车站北路，西至芙蓉北路，南临五一大道，北接烈士公园。韭菜园街道办事处本级内设机构9个，分别为：党政综合办公室、基层党建办公室、城市管理办公室、公共服务办公室（行政审批服务办公室）、公共安全办公室、综合行政执法队、街道政务服务中心（街道党群服务中心）、街道网格化综合服务中心、退役军人服务站。此外还下辖5个基层群众性自治组织，分别是蓉园社区、汤家岭社区、桐荫里社区、八一桥社区、军区社区。</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2、人员情况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2021年，街道实有干部职工348人，其中行政编制人员18人，事业编制人员40人，其他人员共290人人。</w:t>
      </w:r>
    </w:p>
    <w:p>
      <w:pPr>
        <w:spacing w:line="600" w:lineRule="exact"/>
        <w:ind w:firstLine="643" w:firstLineChars="200"/>
        <w:rPr>
          <w:rFonts w:ascii="仿宋" w:hAnsi="仿宋" w:eastAsia="仿宋" w:cs="楷体"/>
          <w:b/>
          <w:bCs/>
          <w:sz w:val="32"/>
          <w:szCs w:val="32"/>
        </w:rPr>
      </w:pPr>
      <w:r>
        <w:rPr>
          <w:rFonts w:hint="eastAsia" w:ascii="仿宋" w:hAnsi="仿宋" w:eastAsia="仿宋" w:cs="楷体"/>
          <w:b/>
          <w:bCs/>
          <w:sz w:val="32"/>
          <w:szCs w:val="32"/>
        </w:rPr>
        <w:t>3、主要职能</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（1）贯彻执行法律、法规、规章和市、区人民政府的决定、命令、指示，保证市、区政府各项任务顺利完成。</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（2）制定街道、社区全面发展建设规划并组织实施，向辖区内社会单位布置地区性、社会性、群众性工作任务，并监督检查落实情况。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（3）负责街道财政预决算和收支管理，配合税务部门组织完成各项税收，促进区域经济发展。</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（4）开展爱国卫生、环境卫生、环境保护、绿化美化工作。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（5）参与城市建设，危房改造及居住小区的管理工作。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（6）制定本辖区社会治安综合治理规划并组织落实，加强外来人口管理，维护老年人、妇女、未成年人和残疾人的合法权益。</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（7）负责计划生育、红十字会、拥军优属、人民防空、防汛。指导监察劳动和社会保障工作。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（8）加强社区服务设施的基础建设，整合社区资源，做好社会救助工作。</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（9）开展群众文化、体育活动和社区教育、卫生工作，普及科学常识，对居民进行法制和社会公德教育；组织单位和居民参与社会公益活动，建设社会主义精神文明。</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（10）指导社区自治组织工作，加强社区居民委员会建设，发挥社区代表会议作用，及时向上级政府反映居民的意见和要求。</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（11）统筹协调、监督检查区职能部门派出机构的行政执法工作，组织辖区内单位和居民对其工作进行考核和民主评议。</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（12）在本部门职责范围内加强为驻区中央单位、市属单位、驻区部队和区域内企事业单位的服务。</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（13）完成区政府交办的其他任务。</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（二）部门年度预算收支</w:t>
      </w:r>
      <w:r>
        <w:rPr>
          <w:rFonts w:hint="eastAsia" w:eastAsia="仿宋_GB2312"/>
          <w:sz w:val="32"/>
          <w:szCs w:val="32"/>
          <w:lang w:eastAsia="zh-CN"/>
        </w:rPr>
        <w:t>结余</w:t>
      </w:r>
      <w:r>
        <w:rPr>
          <w:rFonts w:hint="eastAsia" w:eastAsia="仿宋_GB2312"/>
          <w:sz w:val="32"/>
          <w:szCs w:val="32"/>
        </w:rPr>
        <w:t>情况、部门整体支出使用方向和主要内容、涉及范围等。</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（一）收入支出预算安排情况。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长沙市芙蓉区韭菜园街道办事处2021年财政拨款收入总预算4378.66万元，全部为一般公共预算拨款收入，无政府性基金预算收入。收入预算比2020年增加9.98%。2021年财政拨款支出总预算4378.66万元，支出包含街道机关及辖区五个社区居民委员会基本运行的经费，韭菜园街道办事处归口管理的综合项目、社区工作、环卫所工作、人大工作、综合预算等专项经费，支出预算比2020年增加9.98%。</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（二）收入支出预算执行情况。</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1．收入支出与预算对比分析。</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（1）预、决算差异情况。</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收入预算为4378.66万元，全部为财政拨款收入；2021年全年决算收入合计为13570.36万元，其中一般公共预算财政拨款收入总决算为12589.16万元，政府性基金财政拨款收入0万元，其他收入981.20万元。总收入决算比预算增长209.92%，财政拨款收入决算比预算增长187.51%。</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预算支出为4378.66万元，其中预算基本支出为3178.15万元，预算项目支出1200.51万元；2021年决算支出14181.93万元，其中财政拨款支出决算12909.99万元，其他资金支出1271.94万元。总支出决算比预算增长223.88%，财政局拨款支出预算比预算支出增长194.83%。</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差异原因分析。2021年决算收入比预算增加209.92%，是因为按财政要求增列其他收入，将区直单位拨款收入纳入决算，预算时不包含此部分，同时还有财政局下达的公共部门项目经费，预算时不包含此部分；而财政拨款收入决算比预算增长187.51%，在于财政局下达的公共部门项目经费，预算时不包含此部分。</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总支出决算比预算增长223.88%，是因为按财政要求增列预算外项目支出，预算不包含此部分；同时还有财政局下达的公共部门项目经费，预算时不包含此部分。</w:t>
      </w:r>
    </w:p>
    <w:p>
      <w:pPr>
        <w:snapToGrid w:val="0"/>
        <w:spacing w:line="520" w:lineRule="exact"/>
        <w:ind w:firstLine="602" w:firstLineChars="200"/>
        <w:rPr>
          <w:rFonts w:ascii="华文仿宋" w:hAnsi="华文仿宋" w:eastAsia="华文仿宋"/>
          <w:b/>
          <w:sz w:val="30"/>
          <w:szCs w:val="30"/>
        </w:rPr>
      </w:pPr>
      <w:r>
        <w:rPr>
          <w:rFonts w:hint="eastAsia" w:ascii="华文仿宋" w:hAnsi="华文仿宋" w:eastAsia="华文仿宋"/>
          <w:b/>
          <w:sz w:val="30"/>
          <w:szCs w:val="30"/>
        </w:rPr>
        <w:t>2．收入支出结构分析。</w:t>
      </w:r>
    </w:p>
    <w:p>
      <w:pPr>
        <w:adjustRightInd w:val="0"/>
        <w:snapToGrid w:val="0"/>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2021年全年决算收入合计为13570.36万元，其中财政拨款收入总决算为12589.16万元，占比92.77%；其他收入981.20万元，占比7.23%。2021年决算支出14181.93万元，其中财政拨款收入12909.99万元，占比91.03%；其他资金支出1271.94万元，占比8.97%。</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3、2021年街道部门整体支出情况</w:t>
      </w:r>
    </w:p>
    <w:p>
      <w:pPr>
        <w:widowControl/>
        <w:shd w:val="clear" w:color="auto" w:fill="FFFFFF"/>
        <w:spacing w:line="580" w:lineRule="atLeast"/>
        <w:ind w:firstLine="643"/>
        <w:jc w:val="left"/>
        <w:rPr>
          <w:rFonts w:ascii="仿宋" w:hAnsi="仿宋" w:eastAsia="仿宋"/>
          <w:sz w:val="32"/>
          <w:szCs w:val="32"/>
        </w:rPr>
      </w:pPr>
      <w:r>
        <w:rPr>
          <w:rFonts w:hint="eastAsia" w:ascii="仿宋" w:hAnsi="仿宋" w:eastAsia="仿宋"/>
          <w:sz w:val="32"/>
          <w:szCs w:val="32"/>
        </w:rPr>
        <w:t>韭菜园街道2021年部门整体支出规模为</w:t>
      </w:r>
      <w:r>
        <w:rPr>
          <w:rFonts w:hint="eastAsia" w:ascii="仿宋" w:hAnsi="仿宋" w:eastAsia="仿宋" w:cs="仿宋_GB2312"/>
          <w:sz w:val="32"/>
          <w:szCs w:val="32"/>
        </w:rPr>
        <w:t>14181.93</w:t>
      </w:r>
      <w:r>
        <w:rPr>
          <w:rFonts w:hint="eastAsia" w:ascii="仿宋" w:hAnsi="仿宋" w:eastAsia="仿宋"/>
          <w:sz w:val="32"/>
          <w:szCs w:val="32"/>
        </w:rPr>
        <w:t>万元，主要用于以下方面：</w:t>
      </w:r>
    </w:p>
    <w:p>
      <w:pPr>
        <w:widowControl/>
        <w:shd w:val="clear" w:color="auto" w:fill="FFFFFF"/>
        <w:spacing w:line="580" w:lineRule="atLeast"/>
        <w:ind w:firstLine="643"/>
        <w:jc w:val="left"/>
        <w:rPr>
          <w:rFonts w:ascii="仿宋" w:hAnsi="仿宋" w:eastAsia="仿宋"/>
          <w:sz w:val="32"/>
          <w:szCs w:val="32"/>
        </w:rPr>
      </w:pPr>
    </w:p>
    <w:p>
      <w:pPr>
        <w:widowControl/>
        <w:shd w:val="clear" w:color="auto" w:fill="FFFFFF"/>
        <w:spacing w:line="580" w:lineRule="atLeast"/>
        <w:ind w:firstLine="643"/>
        <w:jc w:val="left"/>
        <w:rPr>
          <w:rFonts w:ascii="仿宋" w:hAnsi="仿宋" w:eastAsia="仿宋" w:cs="宋体"/>
          <w:b/>
          <w:bCs/>
          <w:color w:val="222222"/>
          <w:kern w:val="0"/>
          <w:sz w:val="32"/>
          <w:szCs w:val="32"/>
        </w:rPr>
      </w:pPr>
    </w:p>
    <w:tbl>
      <w:tblPr>
        <w:tblStyle w:val="9"/>
        <w:tblW w:w="89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6"/>
        <w:gridCol w:w="1521"/>
        <w:gridCol w:w="306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（按功能分类）</w:t>
            </w:r>
          </w:p>
        </w:tc>
        <w:tc>
          <w:tcPr>
            <w:tcW w:w="1521" w:type="dxa"/>
            <w:tcBorders>
              <w:right w:val="doub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c>
          <w:tcPr>
            <w:tcW w:w="3064" w:type="dxa"/>
            <w:tcBorders>
              <w:left w:val="double" w:color="auto" w:sz="4" w:space="0"/>
            </w:tcBorders>
            <w:vAlign w:val="center"/>
          </w:tcPr>
          <w:p>
            <w:pPr>
              <w:jc w:val="center"/>
              <w:rPr>
                <w:rFonts w:ascii="仿宋" w:hAnsi="仿宋" w:eastAsia="仿宋"/>
                <w:b/>
                <w:sz w:val="28"/>
                <w:szCs w:val="28"/>
              </w:rPr>
            </w:pPr>
            <w:r>
              <w:rPr>
                <w:rFonts w:hint="eastAsia" w:ascii="仿宋" w:hAnsi="仿宋" w:eastAsia="仿宋"/>
                <w:b/>
                <w:sz w:val="28"/>
                <w:szCs w:val="28"/>
              </w:rPr>
              <w:t>项目</w:t>
            </w:r>
          </w:p>
          <w:p>
            <w:pPr>
              <w:jc w:val="center"/>
              <w:rPr>
                <w:rFonts w:ascii="仿宋" w:hAnsi="仿宋" w:eastAsia="仿宋"/>
                <w:b/>
                <w:sz w:val="28"/>
                <w:szCs w:val="28"/>
              </w:rPr>
            </w:pPr>
            <w:r>
              <w:rPr>
                <w:rFonts w:hint="eastAsia" w:ascii="仿宋" w:hAnsi="仿宋" w:eastAsia="仿宋"/>
                <w:b/>
                <w:sz w:val="28"/>
                <w:szCs w:val="28"/>
              </w:rPr>
              <w:t>（按支出经济分类）</w:t>
            </w:r>
          </w:p>
        </w:tc>
        <w:tc>
          <w:tcPr>
            <w:tcW w:w="1355" w:type="dxa"/>
            <w:vAlign w:val="center"/>
          </w:tcPr>
          <w:p>
            <w:pPr>
              <w:jc w:val="center"/>
              <w:rPr>
                <w:rFonts w:ascii="仿宋" w:hAnsi="仿宋" w:eastAsia="仿宋"/>
                <w:b/>
                <w:sz w:val="28"/>
                <w:szCs w:val="28"/>
              </w:rPr>
            </w:pPr>
            <w:r>
              <w:rPr>
                <w:rFonts w:hint="eastAsia" w:ascii="仿宋" w:hAnsi="仿宋" w:eastAsia="仿宋"/>
                <w:b/>
                <w:sz w:val="28"/>
                <w:szCs w:val="28"/>
              </w:rPr>
              <w:t>金额</w:t>
            </w:r>
          </w:p>
          <w:p>
            <w:pPr>
              <w:jc w:val="center"/>
              <w:rPr>
                <w:rFonts w:ascii="仿宋" w:hAnsi="仿宋" w:eastAsia="仿宋"/>
                <w:b/>
                <w:sz w:val="28"/>
                <w:szCs w:val="28"/>
              </w:rPr>
            </w:pPr>
            <w:r>
              <w:rPr>
                <w:rFonts w:hint="eastAsia" w:ascii="仿宋" w:hAnsi="仿宋" w:eastAsia="仿宋"/>
                <w:b/>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一般公共服务支出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2286.20</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工资福利支出</w:t>
            </w:r>
          </w:p>
        </w:tc>
        <w:tc>
          <w:tcPr>
            <w:tcW w:w="1355" w:type="dxa"/>
          </w:tcPr>
          <w:p>
            <w:pPr>
              <w:spacing w:line="600" w:lineRule="exact"/>
              <w:jc w:val="center"/>
              <w:rPr>
                <w:rFonts w:ascii="仿宋" w:hAnsi="仿宋" w:eastAsia="仿宋"/>
                <w:sz w:val="24"/>
              </w:rPr>
            </w:pPr>
            <w:r>
              <w:rPr>
                <w:rFonts w:hint="eastAsia" w:ascii="仿宋" w:hAnsi="仿宋" w:eastAsia="仿宋"/>
                <w:sz w:val="24"/>
              </w:rPr>
              <w:t>3475.89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公共安全支出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4.36</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商品和服务支出</w:t>
            </w:r>
          </w:p>
        </w:tc>
        <w:tc>
          <w:tcPr>
            <w:tcW w:w="1355" w:type="dxa"/>
          </w:tcPr>
          <w:p>
            <w:pPr>
              <w:spacing w:line="600" w:lineRule="exact"/>
              <w:jc w:val="center"/>
              <w:rPr>
                <w:rFonts w:ascii="仿宋" w:hAnsi="仿宋" w:eastAsia="仿宋"/>
                <w:sz w:val="24"/>
              </w:rPr>
            </w:pPr>
            <w:r>
              <w:rPr>
                <w:rFonts w:hint="eastAsia" w:ascii="仿宋" w:hAnsi="仿宋" w:eastAsia="仿宋"/>
                <w:sz w:val="24"/>
              </w:rPr>
              <w:t>1630.70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文化旅游体育与传媒支出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2.50</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对个人和家庭的补助</w:t>
            </w:r>
          </w:p>
        </w:tc>
        <w:tc>
          <w:tcPr>
            <w:tcW w:w="1355" w:type="dxa"/>
          </w:tcPr>
          <w:p>
            <w:pPr>
              <w:spacing w:line="600" w:lineRule="exact"/>
              <w:jc w:val="center"/>
              <w:rPr>
                <w:rFonts w:ascii="仿宋" w:hAnsi="仿宋" w:eastAsia="仿宋"/>
                <w:sz w:val="24"/>
              </w:rPr>
            </w:pPr>
            <w:r>
              <w:rPr>
                <w:rFonts w:hint="eastAsia" w:ascii="仿宋" w:hAnsi="仿宋" w:eastAsia="仿宋"/>
                <w:sz w:val="24"/>
              </w:rPr>
              <w:t>7542.06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社会保障和就业支出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1489.45</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资本性支出（基本建设）</w:t>
            </w:r>
          </w:p>
        </w:tc>
        <w:tc>
          <w:tcPr>
            <w:tcW w:w="1355" w:type="dxa"/>
          </w:tcPr>
          <w:p>
            <w:pPr>
              <w:spacing w:line="600" w:lineRule="exact"/>
              <w:jc w:val="center"/>
              <w:rPr>
                <w:rFonts w:ascii="仿宋" w:hAnsi="仿宋" w:eastAsia="仿宋"/>
                <w:sz w:val="24"/>
              </w:rPr>
            </w:pPr>
            <w:r>
              <w:rPr>
                <w:rFonts w:hint="eastAsia" w:ascii="仿宋" w:hAnsi="仿宋" w:eastAsia="仿宋"/>
                <w:sz w:val="24"/>
              </w:rPr>
              <w:t>285.09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卫生健康支出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53.77</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资本性支出</w:t>
            </w:r>
          </w:p>
        </w:tc>
        <w:tc>
          <w:tcPr>
            <w:tcW w:w="1355" w:type="dxa"/>
          </w:tcPr>
          <w:p>
            <w:pPr>
              <w:spacing w:line="600" w:lineRule="exact"/>
              <w:jc w:val="center"/>
              <w:rPr>
                <w:rFonts w:ascii="仿宋" w:hAnsi="仿宋" w:eastAsia="仿宋"/>
                <w:sz w:val="24"/>
              </w:rPr>
            </w:pPr>
            <w:r>
              <w:rPr>
                <w:rFonts w:hint="eastAsia" w:ascii="仿宋" w:hAnsi="仿宋" w:eastAsia="仿宋"/>
                <w:sz w:val="24"/>
              </w:rPr>
              <w:t>938.17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rPr>
                <w:rFonts w:ascii="仿宋" w:hAnsi="仿宋" w:eastAsia="仿宋"/>
                <w:sz w:val="24"/>
              </w:rPr>
            </w:pPr>
            <w:r>
              <w:rPr>
                <w:rFonts w:hint="eastAsia" w:ascii="仿宋" w:hAnsi="仿宋" w:eastAsia="仿宋"/>
                <w:sz w:val="24"/>
              </w:rPr>
              <w:t>节能环保支出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15.00</w:t>
            </w:r>
          </w:p>
        </w:tc>
        <w:tc>
          <w:tcPr>
            <w:tcW w:w="3064" w:type="dxa"/>
            <w:tcBorders>
              <w:left w:val="double" w:color="auto" w:sz="4" w:space="0"/>
            </w:tcBorders>
          </w:tcPr>
          <w:p>
            <w:pPr>
              <w:spacing w:line="600" w:lineRule="exact"/>
              <w:rPr>
                <w:rFonts w:ascii="仿宋" w:hAnsi="仿宋" w:eastAsia="仿宋"/>
                <w:sz w:val="24"/>
              </w:rPr>
            </w:pPr>
            <w:r>
              <w:rPr>
                <w:rFonts w:hint="eastAsia" w:ascii="仿宋" w:hAnsi="仿宋" w:eastAsia="仿宋"/>
                <w:sz w:val="24"/>
              </w:rPr>
              <w:t>对企业补助</w:t>
            </w:r>
          </w:p>
        </w:tc>
        <w:tc>
          <w:tcPr>
            <w:tcW w:w="1355" w:type="dxa"/>
          </w:tcPr>
          <w:p>
            <w:pPr>
              <w:spacing w:line="600" w:lineRule="exact"/>
              <w:jc w:val="center"/>
              <w:rPr>
                <w:rFonts w:ascii="仿宋" w:hAnsi="仿宋" w:eastAsia="仿宋"/>
                <w:sz w:val="24"/>
              </w:rPr>
            </w:pPr>
            <w:r>
              <w:rPr>
                <w:rFonts w:hint="eastAsia" w:ascii="仿宋" w:hAnsi="仿宋" w:eastAsia="仿宋"/>
                <w:sz w:val="24"/>
              </w:rPr>
              <w:t>310.02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3036" w:type="dxa"/>
          </w:tcPr>
          <w:p>
            <w:pPr>
              <w:spacing w:line="600" w:lineRule="exact"/>
              <w:rPr>
                <w:rFonts w:ascii="仿宋" w:hAnsi="仿宋" w:eastAsia="仿宋"/>
                <w:sz w:val="24"/>
              </w:rPr>
            </w:pPr>
            <w:r>
              <w:rPr>
                <w:rFonts w:hint="eastAsia" w:ascii="仿宋" w:hAnsi="仿宋" w:eastAsia="仿宋"/>
                <w:sz w:val="24"/>
              </w:rPr>
              <w:t>城乡社区支出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1866.72</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3036" w:type="dxa"/>
          </w:tcPr>
          <w:p>
            <w:pPr>
              <w:spacing w:line="600" w:lineRule="exact"/>
              <w:rPr>
                <w:rFonts w:ascii="仿宋" w:hAnsi="仿宋" w:eastAsia="仿宋"/>
                <w:sz w:val="24"/>
              </w:rPr>
            </w:pPr>
            <w:r>
              <w:rPr>
                <w:rFonts w:hint="eastAsia" w:ascii="仿宋" w:hAnsi="仿宋" w:eastAsia="仿宋"/>
                <w:sz w:val="24"/>
              </w:rPr>
              <w:t>灾害防治及应急管理支出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12.00</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3036" w:type="dxa"/>
          </w:tcPr>
          <w:p>
            <w:pPr>
              <w:spacing w:line="600" w:lineRule="exact"/>
              <w:rPr>
                <w:rFonts w:ascii="仿宋" w:hAnsi="仿宋" w:eastAsia="仿宋"/>
                <w:sz w:val="24"/>
              </w:rPr>
            </w:pPr>
            <w:r>
              <w:rPr>
                <w:rFonts w:hint="eastAsia" w:ascii="仿宋" w:hAnsi="仿宋" w:eastAsia="仿宋"/>
                <w:sz w:val="24"/>
              </w:rPr>
              <w:t>其他支出</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8451.93</w:t>
            </w:r>
          </w:p>
        </w:tc>
        <w:tc>
          <w:tcPr>
            <w:tcW w:w="3064" w:type="dxa"/>
            <w:tcBorders>
              <w:left w:val="double" w:color="auto" w:sz="4" w:space="0"/>
            </w:tcBorders>
          </w:tcPr>
          <w:p>
            <w:pPr>
              <w:spacing w:line="600" w:lineRule="exact"/>
              <w:rPr>
                <w:rFonts w:ascii="仿宋" w:hAnsi="仿宋" w:eastAsia="仿宋"/>
                <w:sz w:val="24"/>
              </w:rPr>
            </w:pPr>
          </w:p>
        </w:tc>
        <w:tc>
          <w:tcPr>
            <w:tcW w:w="1355" w:type="dxa"/>
          </w:tcPr>
          <w:p>
            <w:pPr>
              <w:spacing w:line="6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36" w:type="dxa"/>
          </w:tcPr>
          <w:p>
            <w:pPr>
              <w:spacing w:line="600" w:lineRule="exact"/>
              <w:jc w:val="center"/>
              <w:rPr>
                <w:rFonts w:ascii="仿宋" w:hAnsi="仿宋" w:eastAsia="仿宋"/>
                <w:sz w:val="24"/>
              </w:rPr>
            </w:pPr>
            <w:r>
              <w:rPr>
                <w:rFonts w:hint="eastAsia" w:ascii="仿宋" w:hAnsi="仿宋" w:eastAsia="仿宋"/>
                <w:sz w:val="24"/>
              </w:rPr>
              <w:t>合计</w:t>
            </w:r>
          </w:p>
        </w:tc>
        <w:tc>
          <w:tcPr>
            <w:tcW w:w="1521" w:type="dxa"/>
            <w:tcBorders>
              <w:right w:val="double" w:color="auto" w:sz="4" w:space="0"/>
            </w:tcBorders>
          </w:tcPr>
          <w:p>
            <w:pPr>
              <w:spacing w:line="600" w:lineRule="exact"/>
              <w:jc w:val="center"/>
              <w:rPr>
                <w:rFonts w:ascii="仿宋" w:hAnsi="仿宋" w:eastAsia="仿宋"/>
                <w:sz w:val="24"/>
              </w:rPr>
            </w:pPr>
            <w:r>
              <w:rPr>
                <w:rFonts w:hint="eastAsia" w:ascii="仿宋" w:hAnsi="仿宋" w:eastAsia="仿宋"/>
                <w:sz w:val="24"/>
              </w:rPr>
              <w:t>14181.93</w:t>
            </w:r>
          </w:p>
        </w:tc>
        <w:tc>
          <w:tcPr>
            <w:tcW w:w="3064" w:type="dxa"/>
            <w:tcBorders>
              <w:left w:val="double" w:color="auto" w:sz="4" w:space="0"/>
            </w:tcBorders>
          </w:tcPr>
          <w:p>
            <w:pPr>
              <w:spacing w:line="600" w:lineRule="exact"/>
              <w:jc w:val="center"/>
              <w:rPr>
                <w:rFonts w:ascii="仿宋" w:hAnsi="仿宋" w:eastAsia="仿宋"/>
                <w:sz w:val="24"/>
              </w:rPr>
            </w:pPr>
            <w:r>
              <w:rPr>
                <w:rFonts w:hint="eastAsia" w:ascii="仿宋" w:hAnsi="仿宋" w:eastAsia="仿宋"/>
                <w:sz w:val="24"/>
              </w:rPr>
              <w:t>合计</w:t>
            </w:r>
          </w:p>
        </w:tc>
        <w:tc>
          <w:tcPr>
            <w:tcW w:w="1355" w:type="dxa"/>
          </w:tcPr>
          <w:p>
            <w:pPr>
              <w:spacing w:line="600" w:lineRule="exact"/>
              <w:jc w:val="center"/>
              <w:rPr>
                <w:rFonts w:ascii="仿宋" w:hAnsi="仿宋" w:eastAsia="仿宋"/>
                <w:sz w:val="24"/>
              </w:rPr>
            </w:pPr>
            <w:r>
              <w:rPr>
                <w:rFonts w:hint="eastAsia" w:ascii="仿宋" w:hAnsi="仿宋" w:eastAsia="仿宋"/>
                <w:sz w:val="24"/>
              </w:rPr>
              <w:t>14181.93</w:t>
            </w:r>
          </w:p>
        </w:tc>
      </w:tr>
    </w:tbl>
    <w:p>
      <w:pPr>
        <w:adjustRightInd w:val="0"/>
        <w:snapToGrid w:val="0"/>
        <w:spacing w:line="560" w:lineRule="exact"/>
        <w:ind w:firstLine="640" w:firstLineChars="200"/>
        <w:rPr>
          <w:rFonts w:eastAsia="黑体"/>
          <w:sz w:val="32"/>
          <w:szCs w:val="32"/>
        </w:rPr>
      </w:pPr>
      <w:r>
        <w:rPr>
          <w:rFonts w:hint="eastAsia" w:eastAsia="黑体"/>
          <w:sz w:val="32"/>
          <w:szCs w:val="32"/>
        </w:rPr>
        <w:t>二、部门整体支出管理及使用情况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（一）基本支出</w:t>
      </w:r>
    </w:p>
    <w:p>
      <w:pPr>
        <w:spacing w:line="600" w:lineRule="exact"/>
        <w:ind w:firstLine="600" w:firstLineChars="200"/>
        <w:rPr>
          <w:rFonts w:ascii="华文仿宋" w:hAnsi="华文仿宋" w:eastAsia="华文仿宋"/>
          <w:sz w:val="30"/>
          <w:szCs w:val="30"/>
        </w:rPr>
      </w:pPr>
      <w:r>
        <w:rPr>
          <w:rFonts w:hint="eastAsia" w:ascii="华文仿宋" w:hAnsi="华文仿宋" w:eastAsia="华文仿宋"/>
          <w:sz w:val="30"/>
          <w:szCs w:val="30"/>
        </w:rPr>
        <w:t>韭菜园街道办事处2021年基本支出共计3373.47万元，其中财政拨款基本支出3254.20万元，其他资金基本支出119.27万元。基本支出主要用于街道人员经费和日常公用经费，其中基本工资、津贴补贴、其他工资福利支出、退休费、其他对家庭和个人的补助等。</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（二）项目支出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为保障完成特定的行政工作任务或事业发展目标，街道用于专项业务工作的经费支出10808.46万元，其中财政拨款项目支出9655.79万元，其他资金项目支出1152.67万元。项目支出主要用于街道人大、安监、城管、社会保障、党建、公共安全等各项具体工作开展方面。</w:t>
      </w:r>
    </w:p>
    <w:p>
      <w:pPr>
        <w:spacing w:line="600" w:lineRule="exact"/>
        <w:ind w:firstLine="640" w:firstLineChars="200"/>
        <w:rPr>
          <w:rFonts w:eastAsia="仿宋_GB2312"/>
          <w:sz w:val="32"/>
          <w:szCs w:val="32"/>
        </w:rPr>
      </w:pPr>
      <w:r>
        <w:rPr>
          <w:rFonts w:hint="eastAsia" w:eastAsia="仿宋_GB2312"/>
          <w:sz w:val="32"/>
          <w:szCs w:val="32"/>
        </w:rPr>
        <w:t>（三）管理制度及执行情况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韭菜园街道办事处根据国家相关法规的规定，</w:t>
      </w:r>
      <w:r>
        <w:rPr>
          <w:rFonts w:ascii="仿宋" w:hAnsi="仿宋" w:eastAsia="仿宋"/>
          <w:sz w:val="32"/>
          <w:szCs w:val="32"/>
        </w:rPr>
        <w:t>结合单位实际，明确了人员分工及工作职责，建立健全了机关管理制度，实行制度管人、管事、管权。进一步完善了财务管理制度，</w:t>
      </w:r>
      <w:r>
        <w:rPr>
          <w:rFonts w:hint="eastAsia" w:ascii="仿宋" w:hAnsi="仿宋" w:eastAsia="仿宋"/>
          <w:sz w:val="32"/>
          <w:szCs w:val="32"/>
        </w:rPr>
        <w:t>制定了《内部财务管理控制制度》、《预算业务管理制度》、《收入支出管理总支队》、《政府采购管理相关制度》、《国有资产管理制度》等规章制度，对资金、物资进行管理和使用；严格按照财经纪律规范和使用财政资金，做到资金的使用均有完整的审批程序，并实行专人管理、转账核算、专款专用原则，</w:t>
      </w:r>
      <w:r>
        <w:rPr>
          <w:rFonts w:ascii="仿宋" w:hAnsi="仿宋" w:eastAsia="仿宋"/>
          <w:sz w:val="32"/>
          <w:szCs w:val="32"/>
        </w:rPr>
        <w:t>使财政收支预算执行取到良好的实施效果。</w:t>
      </w:r>
    </w:p>
    <w:p>
      <w:pPr>
        <w:adjustRightInd w:val="0"/>
        <w:snapToGrid w:val="0"/>
        <w:spacing w:line="560" w:lineRule="exact"/>
        <w:ind w:firstLine="640" w:firstLineChars="200"/>
        <w:rPr>
          <w:rFonts w:eastAsia="黑体"/>
          <w:sz w:val="32"/>
          <w:szCs w:val="32"/>
        </w:rPr>
      </w:pPr>
      <w:r>
        <w:rPr>
          <w:rFonts w:hint="eastAsia" w:eastAsia="黑体"/>
          <w:sz w:val="32"/>
          <w:szCs w:val="32"/>
        </w:rPr>
        <w:t>三、部门项目组织实施情况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韭菜园街道办事处制定了项目管理制度，包括《工程项目管理制度》、《建设项目财务管理规则》、《建设项目成本管理规定》、《建设项目竣工财务决算管理暂行办法》等。街道建立健全项目建设工作的领导、组织机构，项目建设工作由党政会议集体研究决定，由分管领导具体负责实施。项目招投标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adjustRightInd w:val="0"/>
        <w:snapToGrid w:val="0"/>
        <w:spacing w:line="560" w:lineRule="exact"/>
        <w:ind w:firstLine="640" w:firstLineChars="200"/>
        <w:rPr>
          <w:rFonts w:eastAsia="黑体"/>
          <w:sz w:val="32"/>
          <w:szCs w:val="32"/>
        </w:rPr>
      </w:pPr>
      <w:r>
        <w:rPr>
          <w:rFonts w:hint="eastAsia" w:eastAsia="黑体"/>
          <w:sz w:val="32"/>
          <w:szCs w:val="32"/>
        </w:rPr>
        <w:t>四、资产管理情况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（一）资产情况分析</w:t>
      </w:r>
    </w:p>
    <w:p>
      <w:pPr>
        <w:widowControl/>
        <w:shd w:val="clear" w:color="auto" w:fill="FFFFFF"/>
        <w:spacing w:line="580" w:lineRule="atLeast"/>
        <w:ind w:firstLine="643"/>
        <w:jc w:val="left"/>
        <w:rPr>
          <w:rFonts w:ascii="仿宋" w:hAnsi="仿宋" w:eastAsia="仿宋" w:cs="楷体"/>
          <w:b/>
          <w:bCs/>
          <w:sz w:val="32"/>
          <w:szCs w:val="32"/>
        </w:rPr>
      </w:pPr>
      <w:r>
        <w:rPr>
          <w:rFonts w:hint="eastAsia" w:ascii="仿宋" w:hAnsi="仿宋" w:eastAsia="仿宋" w:cs="楷体"/>
          <w:b/>
          <w:bCs/>
          <w:sz w:val="32"/>
          <w:szCs w:val="32"/>
        </w:rPr>
        <w:t>1、总量、变动、构成情况。</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至2021年，我单位资产总额为1029.51万元，其中流动资产888.54万元，固定资产净值140.97万元，无形资产0.00元，在建工程0.00元，其他资产0.00元，分别占比86.3%、13.7%、0%、0%、0%。</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截至2021年底，我单位占有使用固定资产中，房屋构筑物76.57万元，通用设备334个（台、辆等）41.51万元，专用设备15个（台等）3.20万元，图书、档案1.05万元，家具、用具、装具及动植物581（套等）18.64万元，分别占固定资产比重为54.31%、29.44%、2.26%、0.74%、13.25%。</w:t>
      </w:r>
    </w:p>
    <w:p>
      <w:pPr>
        <w:adjustRightInd w:val="0"/>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截至2021年底，我单位占有使用车辆0.00辆、0.00元、单价50万（含）以上通用设备0.00台、0.00元、单价100万（含）以上0.00台、0.00元。</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2、资产的配置、使用、处置、收益等情况。</w:t>
      </w:r>
    </w:p>
    <w:p>
      <w:pPr>
        <w:widowControl/>
        <w:shd w:val="clear" w:color="auto" w:fill="FFFFFF"/>
        <w:spacing w:line="580" w:lineRule="atLeast"/>
        <w:ind w:firstLine="643"/>
        <w:jc w:val="left"/>
        <w:rPr>
          <w:rFonts w:ascii="仿宋" w:hAnsi="仿宋" w:eastAsia="仿宋"/>
          <w:sz w:val="32"/>
          <w:szCs w:val="32"/>
        </w:rPr>
      </w:pPr>
      <w:r>
        <w:rPr>
          <w:rFonts w:hint="eastAsia" w:ascii="仿宋" w:hAnsi="仿宋" w:eastAsia="仿宋"/>
          <w:sz w:val="32"/>
          <w:szCs w:val="32"/>
        </w:rPr>
        <w:t>2021年新增固定资产原值39.84万元，处置固定资产原值33.44万元；固定资产使用情况中自用资产</w:t>
      </w:r>
      <w:r>
        <w:rPr>
          <w:rFonts w:ascii="仿宋" w:hAnsi="仿宋" w:eastAsia="仿宋"/>
          <w:sz w:val="32"/>
          <w:szCs w:val="32"/>
        </w:rPr>
        <w:t>1283.27</w:t>
      </w:r>
      <w:r>
        <w:rPr>
          <w:rFonts w:hint="eastAsia" w:ascii="仿宋" w:hAnsi="仿宋" w:eastAsia="仿宋"/>
          <w:sz w:val="32"/>
          <w:szCs w:val="32"/>
        </w:rPr>
        <w:t>平方米，按照国资办要求移交使用权给城投公司管理资产68.46平方米。</w:t>
      </w:r>
    </w:p>
    <w:p>
      <w:pPr>
        <w:widowControl/>
        <w:shd w:val="clear" w:color="auto" w:fill="FFFFFF"/>
        <w:spacing w:line="580" w:lineRule="atLeast"/>
        <w:ind w:firstLine="643"/>
        <w:jc w:val="left"/>
        <w:rPr>
          <w:rFonts w:eastAsia="仿宋_GB2312"/>
          <w:b/>
          <w:sz w:val="32"/>
          <w:szCs w:val="32"/>
        </w:rPr>
      </w:pPr>
      <w:r>
        <w:rPr>
          <w:rFonts w:hint="eastAsia" w:ascii="仿宋" w:hAnsi="仿宋" w:eastAsia="仿宋" w:cs="楷体"/>
          <w:b/>
          <w:bCs/>
          <w:sz w:val="32"/>
          <w:szCs w:val="32"/>
        </w:rPr>
        <w:t>3、本单位重点资产情况。</w:t>
      </w:r>
    </w:p>
    <w:p>
      <w:pPr>
        <w:adjustRightInd w:val="0"/>
        <w:snapToGrid w:val="0"/>
        <w:spacing w:line="560" w:lineRule="exact"/>
        <w:rPr>
          <w:rFonts w:ascii="仿宋" w:hAnsi="仿宋" w:eastAsia="仿宋"/>
          <w:sz w:val="32"/>
          <w:szCs w:val="32"/>
        </w:rPr>
      </w:pPr>
      <w:r>
        <w:rPr>
          <w:rFonts w:hint="eastAsia" w:ascii="仿宋" w:hAnsi="仿宋" w:eastAsia="仿宋"/>
          <w:sz w:val="32"/>
          <w:szCs w:val="32"/>
        </w:rPr>
        <w:t xml:space="preserve">    本单位资产没有土地、房屋、车辆、在建工程等。</w:t>
      </w:r>
    </w:p>
    <w:p>
      <w:pPr>
        <w:adjustRightInd w:val="0"/>
        <w:snapToGrid w:val="0"/>
        <w:spacing w:line="560" w:lineRule="exact"/>
        <w:rPr>
          <w:rFonts w:ascii="仿宋" w:hAnsi="仿宋" w:eastAsia="仿宋" w:cs="楷体"/>
          <w:b/>
          <w:bCs/>
          <w:sz w:val="32"/>
          <w:szCs w:val="32"/>
        </w:rPr>
      </w:pPr>
      <w:r>
        <w:rPr>
          <w:rFonts w:hint="eastAsia" w:ascii="仿宋" w:hAnsi="仿宋" w:eastAsia="仿宋" w:cs="楷体"/>
          <w:b/>
          <w:bCs/>
          <w:sz w:val="32"/>
          <w:szCs w:val="32"/>
        </w:rPr>
        <w:t xml:space="preserve">    4、分析本单位资产绩效情况。</w:t>
      </w:r>
    </w:p>
    <w:p>
      <w:pPr>
        <w:adjustRightInd w:val="0"/>
        <w:snapToGrid w:val="0"/>
        <w:spacing w:line="560" w:lineRule="exact"/>
        <w:ind w:firstLine="640" w:firstLineChars="200"/>
        <w:rPr>
          <w:rFonts w:ascii="仿宋" w:hAnsi="仿宋" w:eastAsia="仿宋"/>
          <w:b/>
          <w:sz w:val="32"/>
          <w:szCs w:val="32"/>
        </w:rPr>
      </w:pPr>
      <w:r>
        <w:rPr>
          <w:rFonts w:hint="eastAsia" w:ascii="仿宋" w:hAnsi="仿宋" w:eastAsia="仿宋"/>
          <w:sz w:val="32"/>
          <w:szCs w:val="32"/>
        </w:rPr>
        <w:t>我街道有效使用本单位资产，提高资产配置效率和使用效益、盘活资产存量和共享共用资产，其中资产配置效率中人均占有办公室使用面积4.3平方、人均占有通用设备数量0.95台；资产使用效益应出租出借资产100%，有效盘活了资产。</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（二）资产管理工作情况</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我街道为进一步加强行政事业单位国有资产管理，合理配置和提高国有资产使用效益，推进资产管理精细化、标准化、规范化和科学化建设，2021年单位在日常管理中，做到以下几点：</w:t>
      </w:r>
    </w:p>
    <w:p>
      <w:pPr>
        <w:pStyle w:val="12"/>
        <w:ind w:firstLine="640" w:firstLineChars="200"/>
        <w:rPr>
          <w:rFonts w:ascii="仿宋" w:hAnsi="仿宋" w:eastAsia="仿宋"/>
          <w:sz w:val="32"/>
          <w:szCs w:val="32"/>
        </w:rPr>
      </w:pPr>
      <w:r>
        <w:rPr>
          <w:rFonts w:hint="eastAsia" w:ascii="仿宋" w:hAnsi="仿宋" w:eastAsia="仿宋"/>
          <w:sz w:val="32"/>
          <w:szCs w:val="32"/>
        </w:rPr>
        <w:t>一是加强资产配置管理。目前我区出台的办法资产配置标准执行，单位提出资产配置申请，国资部门进行审核、批准后才能进行政府采购。</w:t>
      </w:r>
    </w:p>
    <w:p>
      <w:pPr>
        <w:pStyle w:val="12"/>
        <w:ind w:firstLine="640" w:firstLineChars="200"/>
        <w:rPr>
          <w:rFonts w:ascii="仿宋" w:hAnsi="仿宋" w:eastAsia="仿宋"/>
          <w:sz w:val="32"/>
          <w:szCs w:val="32"/>
        </w:rPr>
      </w:pPr>
      <w:r>
        <w:rPr>
          <w:rFonts w:hint="eastAsia" w:ascii="仿宋" w:hAnsi="仿宋" w:eastAsia="仿宋"/>
          <w:sz w:val="32"/>
          <w:szCs w:val="32"/>
        </w:rPr>
        <w:t xml:space="preserve">二是强化制度建设，创新管理机制。严格按照街道下发的制度执行，创新机制，极大地提升了单位国有资产管理工作的质量和水平。                                              </w:t>
      </w:r>
    </w:p>
    <w:p>
      <w:pPr>
        <w:pStyle w:val="12"/>
        <w:ind w:firstLine="640" w:firstLineChars="200"/>
        <w:rPr>
          <w:rFonts w:ascii="仿宋" w:hAnsi="仿宋" w:eastAsia="仿宋"/>
          <w:sz w:val="32"/>
          <w:szCs w:val="32"/>
        </w:rPr>
      </w:pPr>
      <w:r>
        <w:rPr>
          <w:rFonts w:hint="eastAsia" w:ascii="仿宋" w:hAnsi="仿宋" w:eastAsia="仿宋"/>
          <w:sz w:val="32"/>
          <w:szCs w:val="32"/>
        </w:rPr>
        <w:t>三是凡涉及资产调拨、捐赠、报废、出售等处置事项，均报区财政国资部门批准，单位不得随意处置资产。</w:t>
      </w:r>
    </w:p>
    <w:p>
      <w:pPr>
        <w:adjustRightInd w:val="0"/>
        <w:snapToGrid w:val="0"/>
        <w:spacing w:line="560" w:lineRule="exact"/>
        <w:ind w:firstLine="640" w:firstLineChars="200"/>
        <w:rPr>
          <w:rFonts w:eastAsia="黑体"/>
          <w:sz w:val="32"/>
          <w:szCs w:val="32"/>
        </w:rPr>
      </w:pPr>
      <w:r>
        <w:rPr>
          <w:rFonts w:hint="eastAsia" w:eastAsia="黑体"/>
          <w:sz w:val="32"/>
          <w:szCs w:val="32"/>
        </w:rPr>
        <w:t>五、部门整体支出绩效情况</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（一）经济效益分析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韭菜园街道办事处整体支出按照区财政局下达的预算批复，对于基本支出中的工资福利支出、对个人和家庭补助支出按照实际在编人员及进度均衡支付；对于商品及服务支出（日常公用经费）按照下达的预算执行，实现内部报告审批制度，实时监控支出情况；对于项目支出的经费使用情况进行监督检查；严格遵循厉行节约的精神，按规定开支“三公”经费。</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（二）社会效率分析</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1、基层党建讲引领，以固本强基之心，强基础、聚合力</w:t>
      </w:r>
    </w:p>
    <w:p>
      <w:pPr>
        <w:spacing w:line="600" w:lineRule="exact"/>
        <w:ind w:firstLine="643" w:firstLineChars="200"/>
        <w:rPr>
          <w:rFonts w:ascii="仿宋" w:hAnsi="仿宋" w:eastAsia="仿宋"/>
          <w:sz w:val="32"/>
          <w:szCs w:val="32"/>
        </w:rPr>
      </w:pPr>
      <w:r>
        <w:rPr>
          <w:rFonts w:hint="eastAsia" w:ascii="仿宋_GB2312" w:hAnsi="仿宋_GB2312" w:eastAsia="仿宋_GB2312" w:cs="仿宋_GB2312"/>
          <w:b/>
          <w:bCs/>
          <w:sz w:val="32"/>
          <w:szCs w:val="32"/>
        </w:rPr>
        <w:t>基层堡垒越夯越实。</w:t>
      </w:r>
      <w:r>
        <w:rPr>
          <w:rFonts w:hint="eastAsia" w:ascii="仿宋" w:hAnsi="仿宋" w:eastAsia="仿宋"/>
          <w:sz w:val="32"/>
          <w:szCs w:val="32"/>
        </w:rPr>
        <w:t>高效完成韭菜园地区人大换届选举工作，时任省委书记、省人大常委会主任许达哲等7位在职省委常委参与了蓉园社区第29选区换届选举投票。顺利完成下辖5个社区“两委”换届工作。深入推进党支部标准化规范化建设，53个党支部100%达标，党员领导干部联点党支部建设全覆盖。亚大楼宇党群服务中心接受全市村（社区）党组织书记学习观摩，5月代表区参加“2021年商办不动产（长株潭）资管论坛”。蓉园社区党委被评为“市先进基层党组织”，军区社区信息苑小区党支部被评为“市离退休干部先进党组织”，亚大时代党总支被评为“市两新领域先进基层党组织”。有效发挥基层武装阵地建设作用，全面完成街道武装部提质改造，荣获全省首批五星级基层武装部，先后接待了市警备区、雨花区人武部、省人武学校等单位多次观摩。</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“一统五联”共建共享。以党建为引领，有效整合辖区发展资源。与25家单位共驻共建，“蓉园党旗红”和“红色联盟”两个共建品牌被评为“区十佳芙蓉先锋共同体项目”。省军民融合办免费提供500</w:t>
      </w:r>
      <w:r>
        <w:rPr>
          <w:rFonts w:hint="eastAsia" w:ascii="仿宋" w:hAnsi="仿宋" w:eastAsia="仿宋"/>
          <w:sz w:val="32"/>
          <w:szCs w:val="32"/>
          <w:lang w:eastAsia="zh-CN"/>
        </w:rPr>
        <w:t>平方米</w:t>
      </w:r>
      <w:r>
        <w:rPr>
          <w:rFonts w:hint="eastAsia" w:ascii="仿宋" w:hAnsi="仿宋" w:eastAsia="仿宋"/>
          <w:sz w:val="32"/>
          <w:szCs w:val="32"/>
        </w:rPr>
        <w:t>阵地和军工苑小区共建共享。与省军区政工局联合打造的“党史百年文化长廊”已成为党员群众“家门口的学习阵地”。联合省湘绣研究所共同打造了“党建+非遗”体验式党员教育活动基地，目前已开展专场130余次，接待省内外60余个组织、5000余人次观摩体验。</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学习教育走深走实。扎实开展党史学习教育和庆祝建党100周年系列活动，专题传达学习了党的十九届六中全会、省第十二次党代会和省市区有关重要会议精神。邀请“毛主席的战士”黄祖示将军、“全国战斗英雄”罗振明、“八千湘女上天山”的胡爱群等红色人物上专题党课17次；开展了党史知识竞赛、红色电影配音、经典诗词</w:t>
      </w:r>
      <w:r>
        <w:rPr>
          <w:rFonts w:hint="eastAsia" w:ascii="仿宋" w:hAnsi="仿宋" w:eastAsia="仿宋"/>
          <w:sz w:val="32"/>
          <w:szCs w:val="32"/>
          <w:lang w:eastAsia="zh-CN"/>
        </w:rPr>
        <w:t>诵读</w:t>
      </w:r>
      <w:r>
        <w:rPr>
          <w:rFonts w:hint="eastAsia" w:ascii="仿宋" w:hAnsi="仿宋" w:eastAsia="仿宋"/>
          <w:sz w:val="32"/>
          <w:szCs w:val="32"/>
        </w:rPr>
        <w:t>等系列活动；打造了廉政文化公园等红色阵地，推出3条红色精品路线。积极开展“我为群众办实事”实践活动，解决居民群众急难愁盼问题214个。省委办公厅、省委宣传部、省委党校、省</w:t>
      </w:r>
      <w:bookmarkStart w:id="0" w:name="_GoBack"/>
      <w:bookmarkEnd w:id="0"/>
      <w:r>
        <w:rPr>
          <w:rFonts w:hint="eastAsia" w:ascii="仿宋" w:hAnsi="仿宋" w:eastAsia="仿宋"/>
          <w:sz w:val="32"/>
          <w:szCs w:val="32"/>
        </w:rPr>
        <w:t>军区多名领导参与并指导街道党史学习教育。</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意识形态领域安全稳定。按照区委“三见三不见”要求，覆盖“一点三圈一线”，及时排查处置风险隐患140余次。通过举办米粉擂台赛、520打卡等活动为湖南米粉街引流近400万人次，接待江西、海南等各省市区单位参观学习，接受湖南经视、湖南人民广播电台、长沙新闻等多家媒体采访报道。高水平推进文明创建工作。扎实做好民族宗教工作，建立省政协民族和宗教委员会工作室，军区社区被评为“全国民族团结进步示范社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2、经济发展求突破，以攻坚克难之心，优环境、促发展</w:t>
      </w:r>
    </w:p>
    <w:p>
      <w:pPr>
        <w:pStyle w:val="8"/>
        <w:spacing w:line="600" w:lineRule="exact"/>
        <w:ind w:left="0" w:leftChars="0" w:firstLine="640"/>
        <w:rPr>
          <w:rFonts w:ascii="仿宋" w:hAnsi="仿宋" w:eastAsia="仿宋"/>
          <w:sz w:val="32"/>
          <w:szCs w:val="32"/>
        </w:rPr>
      </w:pPr>
      <w:r>
        <w:rPr>
          <w:rFonts w:hint="eastAsia" w:ascii="仿宋" w:hAnsi="仿宋" w:eastAsia="仿宋"/>
          <w:sz w:val="32"/>
          <w:szCs w:val="32"/>
        </w:rPr>
        <w:t>紧盯目标精准发力。1-12月，完成区级税收9088.31万，固定资产投资98059万元，社会消费品零售总额77334万元，批发企业销售额61.18亿元，其他盈利性服务业营业额4.13亿元，四上新增企业12家，个转企18家。</w:t>
      </w:r>
    </w:p>
    <w:p>
      <w:pPr>
        <w:pStyle w:val="8"/>
        <w:spacing w:line="600" w:lineRule="exact"/>
        <w:ind w:left="0" w:leftChars="0" w:firstLine="640"/>
        <w:rPr>
          <w:rFonts w:ascii="仿宋" w:hAnsi="仿宋" w:eastAsia="仿宋"/>
          <w:sz w:val="32"/>
          <w:szCs w:val="32"/>
        </w:rPr>
      </w:pPr>
      <w:r>
        <w:rPr>
          <w:rFonts w:hint="eastAsia" w:ascii="仿宋" w:hAnsi="仿宋" w:eastAsia="仿宋"/>
          <w:sz w:val="32"/>
          <w:szCs w:val="32"/>
        </w:rPr>
        <w:t>全力挖掘新增税源。街道牢固树立“没有资源找资源，没有优势创造优势”的超常规发展思路，最大限度争取各方资源。引进财信证券五一大道营业部，预计全口径年税收300万元以上；将主营全球大宗农产品进口的湘龙国际迁入我区，年业务量达8亿元以上。</w:t>
      </w:r>
    </w:p>
    <w:p>
      <w:pPr>
        <w:pStyle w:val="8"/>
        <w:spacing w:line="600" w:lineRule="exact"/>
        <w:ind w:left="0" w:leftChars="0" w:firstLine="640"/>
        <w:rPr>
          <w:rFonts w:ascii="仿宋" w:hAnsi="仿宋" w:eastAsia="仿宋"/>
          <w:sz w:val="32"/>
          <w:szCs w:val="32"/>
        </w:rPr>
      </w:pPr>
      <w:r>
        <w:rPr>
          <w:rFonts w:hint="eastAsia" w:ascii="仿宋" w:hAnsi="仿宋" w:eastAsia="仿宋"/>
          <w:sz w:val="32"/>
          <w:szCs w:val="32"/>
        </w:rPr>
        <w:t>营商环境持续优化。落实领导班子暖企责任，倾听了解企业诉求，送达惠企政策服务。现已走访湖南涟邵建设工程有限责任公司等50余家企业，解决企业问题与困难8个。协同区直相关部门与辖区中国工商银行汇通支行开展暖企座谈，助推“银政合作”。整合长沙融通长城宾馆、湘邮大厦、湘绣博物馆、湖南米粉街等周边文化产业资源搭上袁家岭中央文化区“发展快车”。</w:t>
      </w:r>
    </w:p>
    <w:p>
      <w:pPr>
        <w:pStyle w:val="8"/>
        <w:spacing w:line="600" w:lineRule="exact"/>
        <w:ind w:left="0" w:leftChars="0" w:firstLine="640"/>
        <w:rPr>
          <w:rFonts w:ascii="仿宋" w:hAnsi="仿宋" w:eastAsia="仿宋"/>
          <w:sz w:val="32"/>
          <w:szCs w:val="32"/>
        </w:rPr>
      </w:pPr>
      <w:r>
        <w:rPr>
          <w:rFonts w:hint="eastAsia" w:ascii="仿宋" w:hAnsi="仿宋" w:eastAsia="仿宋"/>
          <w:sz w:val="32"/>
          <w:szCs w:val="32"/>
        </w:rPr>
        <w:t>3、城市管理绣精细，以建管并重之心，精品质、展形象</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提质提档焕新颜。加快推进辖区各提质提档项目建设，完成省政府韭菜园住宅小区、纺织品宿舍、老干活动中心、特勤局等项目提质改造，煤炭大院老旧小区提质改造、黄土塘棚改回迁房、配套学校、道路和公共绿地、地铁6号线等项目进展顺利。积极推进“城市管理进大院”工作，制定《蓉园社区省委机关大院综合管理工作方案》，建立物业服务激励机制，常态保持省委大院整洁有序，蓉园小区二期改造项目将于2022年正式启动。街道省委大院及家属区管理维护工作得到大院相关单位和干部职工认可，获得省委办公厅、省司法厅、省公安厅书面表扬。</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街面整治重长效。完善公基设施，整洁市容环境。积极开展店外经营、违章搭棚、流动摊点等行为的专项整治。对背街小巷进行深度清洗，加大省委周边的保洁维护频次，持续开展“清洗城市家具行动”。从点滴处入手、由细微处着眼，在“百日奋战 扮靓星城”整治工作中，定人、定岗、定责对省委周边的涉黄小卡片进行专项整治，清理卡片10万余张。开展清理、清扫、补损、撤桶设点等垃圾分类整治行动，顺利通过考核任务，达成厨余达标量、分类达标率及居民参与率的考核指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长效管理固成果。由街道主要领导亲自挂帅为组长，成立精细化城市管理工作领导小组，下设办公室，负责各项工作的监督和落实。建立“路长制”，要求网格员采取“徒步巡查+蹲点执勤”的方式，全天候整治街面秩序，不留时间“空档”和管理“盲区”。街道党政主要负责同志每日早上7时到岗，轮班对省委院内及其周边进行巡查，其余班子成员值班当日对辖区重点路段、重点区域徒步巡查，及时发现、整改问题，确保市容秩序良好。配齐人员力量，新招12名城管特勤队员，重点维护“空档期”巡查值守，确保全天候维持街面秩序整洁有序。</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4、民办事有担当，以枝叶关情之心，惠民生、增福祉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聚焦“五位”问题贴心。八一路幼儿园新增学位90个；协调新湘幼儿园和省军区幼儿园招收一部分辖区幼儿入园；在湖南米粉街、省政府三宿舍、湘绣院等地共增加车位70余个，待融通长城宾馆建成、南海医院投入使用后，还可增加车位800余个。省委机关大院电梯集体加装工程2021年预规划完成112台，截至目前施工完毕交付使用80台。居民自主加装电梯社区报建28台，截至目前施工完毕交付使用9台。煤炭大院小区居家养老服务中心建成后，预计增设床位20余个。</w:t>
      </w:r>
    </w:p>
    <w:p>
      <w:pPr>
        <w:spacing w:line="600" w:lineRule="exact"/>
        <w:ind w:firstLine="640" w:firstLineChars="200"/>
        <w:textAlignment w:val="baseline"/>
        <w:rPr>
          <w:rFonts w:ascii="仿宋" w:hAnsi="仿宋" w:eastAsia="仿宋"/>
          <w:sz w:val="32"/>
          <w:szCs w:val="32"/>
        </w:rPr>
      </w:pPr>
      <w:r>
        <w:rPr>
          <w:rFonts w:hint="eastAsia" w:ascii="仿宋" w:hAnsi="仿宋" w:eastAsia="仿宋"/>
          <w:sz w:val="32"/>
          <w:szCs w:val="32"/>
        </w:rPr>
        <w:t>聚焦精准保障暖心。有效开展扶贫济困、扶弱助残相关活动。落实各项救助政策，梳理辖区城市低保、特困供养人员，确保困难群众应保尽保；消费帮扶助力麻阳乡村振兴，引导辖区企业积极参与；稳步推进、积极配合黄土塘棚改回迁工作与韭菜园嘉苑二期建设准备工作，做好群众接待服务。关心关爱残障群体，完成省委院内60余处无障碍公共设施改造，为8户困难残疾人家庭免费安装无障碍设施。街道获评“全省助残先进集体”。</w:t>
      </w:r>
    </w:p>
    <w:p>
      <w:pPr>
        <w:spacing w:line="600" w:lineRule="exact"/>
        <w:ind w:firstLine="640" w:firstLineChars="200"/>
      </w:pPr>
      <w:r>
        <w:rPr>
          <w:rFonts w:hint="eastAsia" w:ascii="仿宋" w:hAnsi="仿宋" w:eastAsia="仿宋"/>
          <w:sz w:val="32"/>
          <w:szCs w:val="32"/>
        </w:rPr>
        <w:t>聚焦平安建设安心。圆满完成“两节”、“两会”、建党100周年、党的十九届六中全会、省第十二次党代会等特护期信访维稳工作，省党代会服务保障工作得到省市领导肯定，省委及驻区单位服务保障工作得到省委办公厅、省司法厅、省公安厅书面表扬。慎终如始做好重点人员摸排、五包一管理等疫情防控工作，保持辖区“零确诊、零感染、零疑似”。深入推进长沙市国家食品安全示范城市创建，加大对辖区食品药品等经营场所的监督检查力度。全面落实安全生产责任制，坚持以“重宣教、除隐患、防事故”为抓手，按照宣教监管“两翼并重”的工作思路，全力推进安全生产“三大行动”，做好宣传发动、教育培训、监督检查、打非治违、隐患排查治理等工作。制定相关执法方案，健全街道、社区、企业三级管理，实现安全生产监管全覆盖。联合蓉园、韭菜园派出所做实反电诈宣传推广工作，街道安全生产和反电诈工作保持全区前列。通过了省级应急能力标准化建设验收，应急能力建设调研受到省厅领导高度肯定。截至目前，辖区无一例进京赴省到市集访、无一例群体性事件、无一例极端恶性事件，辖区经济社会安全发展环境良好。</w:t>
      </w:r>
    </w:p>
    <w:p>
      <w:pPr>
        <w:adjustRightInd w:val="0"/>
        <w:snapToGrid w:val="0"/>
        <w:spacing w:line="560" w:lineRule="exact"/>
        <w:ind w:firstLine="640" w:firstLineChars="200"/>
        <w:rPr>
          <w:rFonts w:eastAsia="黑体"/>
          <w:sz w:val="32"/>
          <w:szCs w:val="32"/>
        </w:rPr>
      </w:pPr>
      <w:r>
        <w:rPr>
          <w:rFonts w:hint="eastAsia" w:eastAsia="黑体"/>
          <w:sz w:val="32"/>
          <w:szCs w:val="32"/>
        </w:rPr>
        <w:t>六、存在的主要问题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绩效评价</w:t>
      </w:r>
      <w:r>
        <w:rPr>
          <w:rFonts w:ascii="仿宋" w:hAnsi="仿宋" w:eastAsia="仿宋"/>
          <w:sz w:val="32"/>
          <w:szCs w:val="32"/>
        </w:rPr>
        <w:t>工作机制有待进一步完善，由于在平时工作中未加强对绩效监控工作的重视，绩效监控工作容易滞后，未形成对绩效目标进行监控的习惯。</w:t>
      </w:r>
    </w:p>
    <w:p>
      <w:pPr>
        <w:adjustRightInd w:val="0"/>
        <w:snapToGrid w:val="0"/>
        <w:spacing w:line="560" w:lineRule="exact"/>
        <w:ind w:firstLine="640" w:firstLineChars="200"/>
        <w:rPr>
          <w:rFonts w:eastAsia="黑体"/>
          <w:sz w:val="32"/>
          <w:szCs w:val="32"/>
        </w:rPr>
      </w:pPr>
      <w:r>
        <w:rPr>
          <w:rFonts w:hint="eastAsia" w:eastAsia="黑体"/>
          <w:sz w:val="32"/>
          <w:szCs w:val="32"/>
        </w:rPr>
        <w:t>七、改进措施和有关建议</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（一）制定有效绩效监控机制，确保绩效目标完成</w:t>
      </w:r>
    </w:p>
    <w:p>
      <w:pPr>
        <w:spacing w:line="600" w:lineRule="exact"/>
        <w:ind w:firstLine="640" w:firstLineChars="200"/>
        <w:rPr>
          <w:rFonts w:ascii="仿宋" w:hAnsi="仿宋" w:eastAsia="仿宋"/>
          <w:sz w:val="32"/>
          <w:szCs w:val="32"/>
        </w:rPr>
      </w:pPr>
      <w:r>
        <w:rPr>
          <w:rFonts w:ascii="仿宋" w:hAnsi="仿宋" w:eastAsia="仿宋"/>
          <w:sz w:val="32"/>
          <w:szCs w:val="32"/>
        </w:rPr>
        <w:t>科学设置预算绩效指标，合理安排经费和各项资金，使其物尽其用，更加贴合街道财务工作的实际情况，能够合理运用现有资源，及时协调并向上级多争取资金，保证各预算绩效指标的顺利实施。</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（二）科学合理编制预算，严格执行预算</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（三）加强管理，严控行政支出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严格控制“三公”经费的规模和比例，把关“三公”经费支出的审核、审批，杜绝挪用和挤占其他预算资金行为；进一步细化“三公”经费的管理，合理压缩“三公”经费支出。</w:t>
      </w:r>
    </w:p>
    <w:p>
      <w:pPr>
        <w:adjustRightInd w:val="0"/>
        <w:snapToGrid w:val="0"/>
        <w:spacing w:line="560" w:lineRule="exact"/>
        <w:ind w:firstLine="640" w:firstLineChars="200"/>
        <w:rPr>
          <w:rFonts w:eastAsia="仿宋_GB2312"/>
          <w:sz w:val="32"/>
          <w:szCs w:val="32"/>
        </w:rPr>
      </w:pPr>
      <w:r>
        <w:rPr>
          <w:rFonts w:hint="eastAsia" w:eastAsia="仿宋_GB2312"/>
          <w:sz w:val="32"/>
          <w:szCs w:val="32"/>
        </w:rPr>
        <w:t>（四）强化学习培训，提高思想认识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 </w:t>
      </w:r>
    </w:p>
    <w:p>
      <w:pPr>
        <w:wordWrap w:val="0"/>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填报单位：韭菜园街道办事处</w:t>
      </w:r>
    </w:p>
    <w:p>
      <w:pPr>
        <w:adjustRightInd w:val="0"/>
        <w:snapToGrid w:val="0"/>
        <w:spacing w:line="560" w:lineRule="exact"/>
        <w:ind w:firstLine="640" w:firstLineChars="200"/>
        <w:jc w:val="left"/>
        <w:rPr>
          <w:rFonts w:eastAsia="黑体" w:cs="宋体"/>
          <w:kern w:val="0"/>
          <w:sz w:val="32"/>
          <w:szCs w:val="32"/>
        </w:rPr>
      </w:pPr>
      <w:r>
        <w:rPr>
          <w:rFonts w:hint="eastAsia" w:eastAsia="黑体" w:cs="宋体"/>
          <w:kern w:val="0"/>
          <w:sz w:val="32"/>
          <w:szCs w:val="32"/>
        </w:rPr>
        <w:t xml:space="preserve">                      日    期： 2022年3月22日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Microsoft Sans Serif">
    <w:panose1 w:val="020B0604020202020204"/>
    <w:charset w:val="00"/>
    <w:family w:val="swiss"/>
    <w:pitch w:val="default"/>
    <w:sig w:usb0="E5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5" o:spid="_x0000_s102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path/>
          <v:fill on="f" focussize="0,0"/>
          <v:stroke on="f" weight="0.5pt" joinstyle="miter"/>
          <v:imagedata o:title=""/>
          <o:lock v:ext="edit"/>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IzZmQxMTE5OGQzZDRhNTYzNGNhOTIwMjhhZTdkMjQifQ=="/>
  </w:docVars>
  <w:rsids>
    <w:rsidRoot w:val="00F2428C"/>
    <w:rsid w:val="00037B99"/>
    <w:rsid w:val="000552B2"/>
    <w:rsid w:val="00111809"/>
    <w:rsid w:val="001254D3"/>
    <w:rsid w:val="00172D7D"/>
    <w:rsid w:val="001933D4"/>
    <w:rsid w:val="001C5F18"/>
    <w:rsid w:val="001C6C23"/>
    <w:rsid w:val="002464C1"/>
    <w:rsid w:val="002B2414"/>
    <w:rsid w:val="003B78D3"/>
    <w:rsid w:val="003C2A4E"/>
    <w:rsid w:val="003C39E2"/>
    <w:rsid w:val="00464FA6"/>
    <w:rsid w:val="004938E1"/>
    <w:rsid w:val="004A0CF5"/>
    <w:rsid w:val="005975CC"/>
    <w:rsid w:val="005D0723"/>
    <w:rsid w:val="005E14CE"/>
    <w:rsid w:val="005F06CA"/>
    <w:rsid w:val="00670245"/>
    <w:rsid w:val="00674688"/>
    <w:rsid w:val="006E67B2"/>
    <w:rsid w:val="007D571A"/>
    <w:rsid w:val="007E0725"/>
    <w:rsid w:val="00867A8E"/>
    <w:rsid w:val="00884A6F"/>
    <w:rsid w:val="008A5750"/>
    <w:rsid w:val="00911535"/>
    <w:rsid w:val="00917136"/>
    <w:rsid w:val="009218BC"/>
    <w:rsid w:val="00963002"/>
    <w:rsid w:val="009D340E"/>
    <w:rsid w:val="009F2F47"/>
    <w:rsid w:val="00A5319E"/>
    <w:rsid w:val="00A779A7"/>
    <w:rsid w:val="00A91603"/>
    <w:rsid w:val="00A94B8C"/>
    <w:rsid w:val="00AC6977"/>
    <w:rsid w:val="00B0485A"/>
    <w:rsid w:val="00B33CEB"/>
    <w:rsid w:val="00B72490"/>
    <w:rsid w:val="00B858A6"/>
    <w:rsid w:val="00B91DD3"/>
    <w:rsid w:val="00B93723"/>
    <w:rsid w:val="00C10695"/>
    <w:rsid w:val="00C134C9"/>
    <w:rsid w:val="00C619D6"/>
    <w:rsid w:val="00CE2A52"/>
    <w:rsid w:val="00D9667C"/>
    <w:rsid w:val="00E2048A"/>
    <w:rsid w:val="00E249DC"/>
    <w:rsid w:val="00E431A6"/>
    <w:rsid w:val="00E6112B"/>
    <w:rsid w:val="00EA5309"/>
    <w:rsid w:val="00EC16A3"/>
    <w:rsid w:val="00F0556D"/>
    <w:rsid w:val="00F2428C"/>
    <w:rsid w:val="00F27F86"/>
    <w:rsid w:val="00F53CEA"/>
    <w:rsid w:val="00F56068"/>
    <w:rsid w:val="00F77E78"/>
    <w:rsid w:val="00F81D8C"/>
    <w:rsid w:val="1A215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7"/>
    <w:unhideWhenUsed/>
    <w:qFormat/>
    <w:uiPriority w:val="0"/>
    <w:pPr>
      <w:keepNext/>
      <w:keepLines/>
      <w:spacing w:line="600" w:lineRule="exact"/>
      <w:ind w:firstLine="880" w:firstLineChars="200"/>
      <w:outlineLvl w:val="1"/>
    </w:pPr>
    <w:rPr>
      <w:rFonts w:ascii="Arial" w:hAnsi="Arial" w:eastAsia="黑体" w:cstheme="minorBidi"/>
      <w:sz w:val="32"/>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4"/>
    <w:semiHidden/>
    <w:unhideWhenUsed/>
    <w:qFormat/>
    <w:uiPriority w:val="99"/>
    <w:pPr>
      <w:spacing w:after="120"/>
    </w:pPr>
  </w:style>
  <w:style w:type="paragraph" w:styleId="4">
    <w:name w:val="Body Text Indent"/>
    <w:basedOn w:val="1"/>
    <w:link w:val="15"/>
    <w:semiHidden/>
    <w:unhideWhenUsed/>
    <w:uiPriority w:val="99"/>
    <w:pPr>
      <w:spacing w:after="120"/>
      <w:ind w:left="420" w:leftChars="200"/>
    </w:pPr>
  </w:style>
  <w:style w:type="paragraph" w:styleId="5">
    <w:name w:val="footer"/>
    <w:basedOn w:val="1"/>
    <w:link w:val="11"/>
    <w:qFormat/>
    <w:uiPriority w:val="0"/>
    <w:pPr>
      <w:tabs>
        <w:tab w:val="center" w:pos="4153"/>
        <w:tab w:val="right" w:pos="8306"/>
      </w:tabs>
      <w:snapToGrid w:val="0"/>
      <w:jc w:val="left"/>
    </w:pPr>
    <w:rPr>
      <w:sz w:val="18"/>
    </w:rPr>
  </w:style>
  <w:style w:type="paragraph" w:styleId="6">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rPr>
      <w:rFonts w:ascii="Times New Roman" w:hAnsi="Times New Roman"/>
      <w:sz w:val="24"/>
    </w:rPr>
  </w:style>
  <w:style w:type="paragraph" w:styleId="8">
    <w:name w:val="Body Text First Indent 2"/>
    <w:basedOn w:val="4"/>
    <w:link w:val="16"/>
    <w:unhideWhenUsed/>
    <w:uiPriority w:val="99"/>
    <w:pPr>
      <w:ind w:firstLine="420" w:firstLineChars="200"/>
    </w:pPr>
  </w:style>
  <w:style w:type="character" w:customStyle="1" w:styleId="11">
    <w:name w:val="页脚 Char"/>
    <w:basedOn w:val="10"/>
    <w:link w:val="5"/>
    <w:uiPriority w:val="0"/>
    <w:rPr>
      <w:rFonts w:ascii="Calibri" w:hAnsi="Calibri" w:eastAsia="宋体" w:cs="Times New Roman"/>
      <w:sz w:val="18"/>
      <w:szCs w:val="24"/>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13">
    <w:name w:val="页眉 Char"/>
    <w:basedOn w:val="10"/>
    <w:link w:val="6"/>
    <w:semiHidden/>
    <w:qFormat/>
    <w:uiPriority w:val="99"/>
    <w:rPr>
      <w:rFonts w:ascii="Calibri" w:hAnsi="Calibri" w:eastAsia="宋体" w:cs="Times New Roman"/>
      <w:sz w:val="18"/>
      <w:szCs w:val="18"/>
    </w:rPr>
  </w:style>
  <w:style w:type="character" w:customStyle="1" w:styleId="14">
    <w:name w:val="正文文本 Char"/>
    <w:basedOn w:val="10"/>
    <w:link w:val="3"/>
    <w:semiHidden/>
    <w:uiPriority w:val="99"/>
    <w:rPr>
      <w:rFonts w:ascii="Calibri" w:hAnsi="Calibri" w:eastAsia="宋体" w:cs="Times New Roman"/>
      <w:szCs w:val="24"/>
    </w:rPr>
  </w:style>
  <w:style w:type="character" w:customStyle="1" w:styleId="15">
    <w:name w:val="正文文本缩进 Char"/>
    <w:basedOn w:val="10"/>
    <w:link w:val="4"/>
    <w:semiHidden/>
    <w:uiPriority w:val="99"/>
    <w:rPr>
      <w:rFonts w:ascii="Calibri" w:hAnsi="Calibri" w:eastAsia="宋体" w:cs="Times New Roman"/>
      <w:szCs w:val="24"/>
    </w:rPr>
  </w:style>
  <w:style w:type="character" w:customStyle="1" w:styleId="16">
    <w:name w:val="正文首行缩进 2 Char"/>
    <w:basedOn w:val="15"/>
    <w:link w:val="8"/>
    <w:uiPriority w:val="99"/>
  </w:style>
  <w:style w:type="character" w:customStyle="1" w:styleId="17">
    <w:name w:val="标题 2 Char"/>
    <w:basedOn w:val="10"/>
    <w:link w:val="2"/>
    <w:uiPriority w:val="0"/>
    <w:rPr>
      <w:rFonts w:ascii="Arial" w:hAnsi="Arial" w:eastAsia="黑体"/>
      <w:sz w:val="32"/>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6F6BA7-C889-4B2B-9FE8-0DE9C6166D2A}">
  <ds:schemaRefs/>
</ds:datastoreItem>
</file>

<file path=docProps/app.xml><?xml version="1.0" encoding="utf-8"?>
<Properties xmlns="http://schemas.openxmlformats.org/officeDocument/2006/extended-properties" xmlns:vt="http://schemas.openxmlformats.org/officeDocument/2006/docPropsVTypes">
  <Template>Normal</Template>
  <Company>Company</Company>
  <Pages>15</Pages>
  <Words>7262</Words>
  <Characters>7865</Characters>
  <Lines>57</Lines>
  <Paragraphs>16</Paragraphs>
  <TotalTime>1</TotalTime>
  <ScaleCrop>false</ScaleCrop>
  <LinksUpToDate>false</LinksUpToDate>
  <CharactersWithSpaces>7970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2021-04-21T01:44:00Z</dcterms:created>
  <dc:creator>User</dc:creator>
  <cp:lastModifiedBy>Xinyao Li</cp:lastModifiedBy>
  <cp:lastPrinted>2022-04-01T07:58:00Z</cp:lastPrinted>
  <dcterms:modified xsi:type="dcterms:W3CDTF">2022-09-29T07:30:35Z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893D608503C1403CBD7FCA6D445120AE</vt:lpwstr>
  </property>
</Properties>
</file>