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eastAsia="方正小标宋简体"/>
          <w:sz w:val="44"/>
          <w:szCs w:val="44"/>
        </w:rPr>
      </w:pPr>
      <w:r>
        <w:rPr>
          <w:rFonts w:hint="eastAsia" w:eastAsia="方正小标宋简体"/>
          <w:sz w:val="44"/>
          <w:szCs w:val="44"/>
        </w:rPr>
        <w:t>2019年度</w:t>
      </w:r>
      <w:r>
        <w:rPr>
          <w:rFonts w:hint="eastAsia" w:ascii="Microsoft Sans Serif" w:hAnsi="Microsoft Sans Serif" w:eastAsia="方正小标宋简体" w:cs="Microsoft Sans Serif"/>
          <w:sz w:val="44"/>
          <w:szCs w:val="44"/>
        </w:rPr>
        <w:t>隆平水稻博物馆</w:t>
      </w:r>
      <w:r>
        <w:rPr>
          <w:rFonts w:hint="eastAsia" w:eastAsia="方正小标宋简体"/>
          <w:sz w:val="44"/>
          <w:szCs w:val="44"/>
        </w:rPr>
        <w:t>整体支出绩效评价</w:t>
      </w:r>
    </w:p>
    <w:p>
      <w:pPr>
        <w:widowControl/>
        <w:shd w:val="clear" w:color="auto" w:fill="FFFFFF"/>
        <w:spacing w:line="700" w:lineRule="exact"/>
        <w:jc w:val="center"/>
        <w:rPr>
          <w:rFonts w:eastAsia="方正小标宋简体"/>
          <w:sz w:val="44"/>
          <w:szCs w:val="44"/>
        </w:rPr>
      </w:pPr>
      <w:r>
        <w:rPr>
          <w:rFonts w:hint="eastAsia" w:eastAsia="方正小标宋简体"/>
          <w:sz w:val="44"/>
          <w:szCs w:val="44"/>
        </w:rPr>
        <w:t>报  告</w:t>
      </w:r>
    </w:p>
    <w:p>
      <w:pPr>
        <w:spacing w:line="560" w:lineRule="exact"/>
        <w:ind w:firstLine="640" w:firstLineChars="200"/>
        <w:rPr>
          <w:rFonts w:eastAsia="黑体"/>
          <w:kern w:val="0"/>
          <w:sz w:val="32"/>
          <w:szCs w:val="32"/>
        </w:rPr>
      </w:pPr>
      <w:r>
        <w:rPr>
          <w:rFonts w:hint="eastAsia" w:eastAsia="黑体"/>
          <w:kern w:val="0"/>
          <w:sz w:val="32"/>
          <w:szCs w:val="32"/>
        </w:rPr>
        <w:t>一、部门概况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1．主要职能。</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贯彻执行国家和省、市有关文物保护与利用、博物馆管理的法律法规和方针政策。</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全面征集、收藏、研究和陈列展示反映水稻历史文化发展的文物和实物资料。</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收集、整理、展示关于从史前到现代稻作文化、传播农耕文明、展示以袁隆平院士为代表的中国杂交水稻科技科研成果。</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负责文物的考古发掘、保护研究、鉴定、实验、修复及书画装裱等工作。</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博物馆对外开放的综合管理工作。包括陈列展览的对外开放管理、观众组织、接待与疏导、展厅综合管理、展品安全管理、票务、数字博物馆建设、文物图片摄影等工作。为人民群众提供历史文化知识、教育和欣赏的窗口，满足人民群众的公共文化需求。</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开展地方文博、文史的科学研究工作，编辑出版文博研究成果，编发文博科研信息资料，搭建文博科研信息平台，促进地方历史文化对外交流和宣传。</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承办区域内外文物、书画、摄影等大中型文化交流展览活动，为群众提供多方面的文化产品。</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开展文化旅游产品开发，促进文化创意、文物复制、文物仿制品、文物出版、文物展示等文化产业的发展。</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开展博物馆之间的交流合作发展，促进博物馆进城市社区、学校活动，参与城市社区、学校文化建设。</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为长沙市内各县级综合博物馆、专题博物馆、企业博物馆、民办博物馆等发展提供服务。</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完成区委、区政府交办的各项工作任务。</w:t>
      </w:r>
    </w:p>
    <w:p>
      <w:pPr>
        <w:snapToGrid w:val="0"/>
        <w:spacing w:line="520" w:lineRule="exact"/>
        <w:rPr>
          <w:rFonts w:ascii="仿宋_GB2312" w:hAnsi="仿宋" w:eastAsia="仿宋_GB2312"/>
          <w:sz w:val="32"/>
          <w:szCs w:val="32"/>
        </w:rPr>
      </w:pPr>
    </w:p>
    <w:p>
      <w:pPr>
        <w:numPr>
          <w:ilvl w:val="0"/>
          <w:numId w:val="2"/>
        </w:num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机构情况，包括当年变动情况及原因。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隆平水稻博物馆设下列内设机构：办公室(保卫部)、开放服务部、文物资料部（研究室）、展陈策划部、产业发展部5个内设机构。</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3．人员情况，包括当年变动情况及原因。</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截</w:t>
      </w:r>
      <w:r>
        <w:rPr>
          <w:rFonts w:hint="eastAsia" w:ascii="仿宋_GB2312" w:hAnsi="仿宋" w:eastAsia="仿宋_GB2312"/>
          <w:sz w:val="32"/>
          <w:szCs w:val="32"/>
          <w:lang w:eastAsia="zh-CN"/>
        </w:rPr>
        <w:t>至</w:t>
      </w:r>
      <w:r>
        <w:rPr>
          <w:rFonts w:hint="eastAsia" w:ascii="仿宋_GB2312" w:hAnsi="仿宋" w:eastAsia="仿宋_GB2312"/>
          <w:sz w:val="32"/>
          <w:szCs w:val="32"/>
        </w:rPr>
        <w:t>2019年底，我单位在职在编人员7名。</w:t>
      </w:r>
    </w:p>
    <w:p>
      <w:pPr>
        <w:ind w:firstLine="640" w:firstLineChars="200"/>
        <w:rPr>
          <w:rFonts w:ascii="仿宋_GB2312" w:hAnsi="仿宋" w:eastAsia="仿宋_GB2312"/>
          <w:sz w:val="32"/>
          <w:szCs w:val="32"/>
        </w:rPr>
      </w:pPr>
      <w:r>
        <w:rPr>
          <w:rFonts w:ascii="仿宋_GB2312" w:hAnsi="仿宋" w:eastAsia="仿宋_GB2312"/>
          <w:sz w:val="32"/>
          <w:szCs w:val="32"/>
        </w:rPr>
        <w:t>工作计划：</w:t>
      </w:r>
    </w:p>
    <w:p>
      <w:pPr>
        <w:ind w:firstLine="643"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1、整合场馆资源，积极创建基地</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是提升长沙市科学普及场馆服务水平，争取成为湖南省第十四批科学普及基地。二是积极对接湖南省粮食和储备局，争取成为湖南省粮食安全教育基地。三是挖掘和弘扬好隆平院士精神，打造精品党课，争取成为长沙市党建文化教育基地。</w:t>
      </w:r>
    </w:p>
    <w:p>
      <w:pPr>
        <w:ind w:firstLine="643"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2、实现文旅融合，打造研学品牌</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是坚持文旅融合发展理念，积极争取省文旅厅、市文旅广电局和省、市教育局支持，不断完善相关配套设施。同时，积极引进社会资本，开发研学课程和文创产品，丰富基地内涵，争取成为长沙市中小学生研学基地，增强博物馆自身造血功能。二是整合省内稻作场馆资源，探索开发农业研学精品旅游线路，将长沙县隆平国际稻作文化公园、湖南升印轩米升文化博物馆串珠成线，实现合作共赢。</w:t>
      </w:r>
    </w:p>
    <w:p>
      <w:pPr>
        <w:ind w:firstLine="643" w:firstLineChars="200"/>
        <w:rPr>
          <w:rFonts w:ascii="仿宋_GB2312" w:hAnsi="仿宋" w:eastAsia="仿宋_GB2312"/>
          <w:color w:val="000000"/>
          <w:sz w:val="32"/>
          <w:szCs w:val="32"/>
        </w:rPr>
      </w:pPr>
      <w:r>
        <w:rPr>
          <w:rFonts w:hint="eastAsia" w:ascii="仿宋_GB2312" w:hAnsi="仿宋" w:eastAsia="仿宋_GB2312"/>
          <w:b/>
          <w:color w:val="000000"/>
          <w:sz w:val="32"/>
          <w:szCs w:val="32"/>
        </w:rPr>
        <w:t>3、</w:t>
      </w:r>
      <w:r>
        <w:rPr>
          <w:rFonts w:hint="eastAsia" w:ascii="仿宋_GB2312" w:hAnsi="宋体" w:eastAsia="仿宋_GB2312"/>
          <w:b/>
          <w:color w:val="000000"/>
          <w:sz w:val="32"/>
          <w:szCs w:val="32"/>
        </w:rPr>
        <w:t xml:space="preserve">加强队伍建设，提升服务水平 </w:t>
      </w:r>
      <w:r>
        <w:rPr>
          <w:rFonts w:hint="eastAsia" w:ascii="仿宋" w:hAnsi="仿宋" w:eastAsia="仿宋"/>
          <w:b/>
          <w:sz w:val="32"/>
          <w:szCs w:val="32"/>
        </w:rPr>
        <w:t xml:space="preserve">  </w:t>
      </w:r>
    </w:p>
    <w:p>
      <w:pPr>
        <w:pStyle w:val="4"/>
        <w:shd w:val="clear" w:color="auto" w:fill="FFFFFF"/>
        <w:spacing w:before="0" w:beforeAutospacing="0" w:after="0" w:afterAutospacing="0" w:line="300" w:lineRule="auto"/>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一是通过面向社会公开招考方式，招聘1名多媒体信息技术员和2名讲解员，满足重宾接待和社会团体预约接待讲解服务需求。二是不断扩大志愿服务者队伍，面向省内高校重点招募外文讲解志愿者和社会文化志愿者加入，切实加强培训和指导，提升服务水平质量，满足观众不同层次的讲解需求。三是通过送出去引进来等方式，加强藏品研究，提升人员科研能力，讲述好文物背后故事，传承好农耕文化。</w:t>
      </w:r>
    </w:p>
    <w:p>
      <w:pPr>
        <w:pStyle w:val="4"/>
        <w:shd w:val="clear" w:color="auto" w:fill="FFFFFF"/>
        <w:spacing w:before="0" w:beforeAutospacing="0" w:after="0" w:afterAutospacing="0" w:line="300" w:lineRule="auto"/>
        <w:ind w:firstLine="643" w:firstLineChars="200"/>
        <w:jc w:val="both"/>
        <w:rPr>
          <w:rFonts w:ascii="仿宋_GB2312" w:hAnsi="仿宋" w:eastAsia="仿宋_GB2312"/>
          <w:color w:val="000000"/>
          <w:sz w:val="32"/>
          <w:szCs w:val="32"/>
        </w:rPr>
      </w:pPr>
      <w:r>
        <w:rPr>
          <w:rFonts w:hint="eastAsia" w:ascii="仿宋_GB2312" w:hAnsi="仿宋" w:eastAsia="仿宋_GB2312" w:cs="Times New Roman"/>
          <w:b/>
          <w:color w:val="000000"/>
          <w:kern w:val="2"/>
          <w:sz w:val="32"/>
          <w:szCs w:val="32"/>
        </w:rPr>
        <w:t>4、注重宣传推介，彰显社会效益</w:t>
      </w:r>
    </w:p>
    <w:p>
      <w:pPr>
        <w:pStyle w:val="4"/>
        <w:shd w:val="clear" w:color="auto" w:fill="FFFFFF"/>
        <w:spacing w:before="0" w:beforeAutospacing="0" w:after="0" w:afterAutospacing="0" w:line="300" w:lineRule="auto"/>
        <w:ind w:firstLine="640" w:firstLineChars="200"/>
        <w:jc w:val="both"/>
        <w:rPr>
          <w:sz w:val="32"/>
          <w:szCs w:val="32"/>
        </w:rPr>
      </w:pPr>
      <w:r>
        <w:rPr>
          <w:rFonts w:hint="eastAsia" w:ascii="仿宋_GB2312" w:hAnsi="仿宋" w:eastAsia="仿宋_GB2312"/>
          <w:color w:val="000000"/>
          <w:sz w:val="32"/>
          <w:szCs w:val="32"/>
        </w:rPr>
        <w:t>一是策划好5.18国际博物馆日、世界粮食安全日、科技宣传周等主题宣传活动，不断扩大博物馆品牌和美誉度。二是</w:t>
      </w:r>
      <w:r>
        <w:rPr>
          <w:rFonts w:hint="eastAsia" w:ascii="仿宋_GB2312" w:hAnsi="仿宋_GB2312" w:eastAsia="仿宋_GB2312" w:cs="仿宋_GB2312"/>
          <w:sz w:val="32"/>
          <w:szCs w:val="32"/>
        </w:rPr>
        <w:t>策划好1-2个临时展览和主题宣传活动，借助好中央、省、市媒体及各类自媒体宣传好博物馆，讲述好水稻历史故事，提升博物馆影响力。</w:t>
      </w:r>
      <w:r>
        <w:rPr>
          <w:rFonts w:hint="eastAsia" w:ascii="仿宋_GB2312" w:hAnsi="仿宋" w:eastAsia="仿宋_GB2312"/>
          <w:color w:val="000000"/>
          <w:sz w:val="32"/>
          <w:szCs w:val="32"/>
        </w:rPr>
        <w:t>三是依托湖南农业大学新媒体中心、在其官网和微信公众号开通博物馆通道，通过微视频、抖音等方式不断扩大自身影响力，争取成为长沙新的网红打卡地。四是与学校和旅行社建立良好合作关系，全年接待观众30万人次。</w:t>
      </w:r>
      <w:r>
        <w:rPr>
          <w:rFonts w:hint="eastAsia" w:ascii="仿宋_GB2312" w:hAnsi="仿宋" w:eastAsia="仿宋_GB2312"/>
          <w:sz w:val="32"/>
          <w:szCs w:val="32"/>
        </w:rPr>
        <w:t>2019年预算收入（本级财政拨款）1688142.22元，一般公共服务财政拨款收入50000元，科学技术财政拨款20000元，文化旅游体育与传媒财政拨款1582979.82元，社会保障和就业财政拨款35162.4元。</w:t>
      </w:r>
    </w:p>
    <w:p>
      <w:pPr>
        <w:spacing w:line="560" w:lineRule="exact"/>
        <w:ind w:firstLine="640" w:firstLineChars="200"/>
        <w:rPr>
          <w:rFonts w:eastAsia="黑体"/>
          <w:kern w:val="0"/>
          <w:sz w:val="32"/>
          <w:szCs w:val="32"/>
        </w:rPr>
      </w:pPr>
      <w:r>
        <w:rPr>
          <w:rFonts w:hint="eastAsia" w:eastAsia="黑体"/>
          <w:kern w:val="0"/>
          <w:sz w:val="32"/>
          <w:szCs w:val="32"/>
        </w:rPr>
        <w:t>二、部门整体支出管理及使用情况</w:t>
      </w:r>
    </w:p>
    <w:p>
      <w:pPr>
        <w:adjustRightInd w:val="0"/>
        <w:snapToGrid w:val="0"/>
        <w:spacing w:line="560" w:lineRule="exact"/>
        <w:ind w:firstLine="643" w:firstLineChars="200"/>
        <w:rPr>
          <w:rFonts w:eastAsia="楷体_GB2312"/>
          <w:b/>
          <w:sz w:val="32"/>
          <w:szCs w:val="32"/>
        </w:rPr>
      </w:pPr>
      <w:r>
        <w:rPr>
          <w:rFonts w:hint="eastAsia" w:eastAsia="楷体_GB2312"/>
          <w:b/>
          <w:sz w:val="32"/>
          <w:szCs w:val="32"/>
        </w:rPr>
        <w:t>（一）基本支出</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2019年基本支出财政拨款784106.5元。主要用于人员经费开支，日常工作经费开支。</w:t>
      </w:r>
      <w:r>
        <w:rPr>
          <w:rFonts w:hint="eastAsia" w:ascii="仿宋_GB2312" w:hAnsi="仿宋_GB2312" w:eastAsia="仿宋_GB2312" w:cs="仿宋_GB2312"/>
          <w:color w:val="000000"/>
          <w:kern w:val="0"/>
          <w:sz w:val="32"/>
          <w:szCs w:val="32"/>
          <w:lang w:val="zh-CN"/>
        </w:rPr>
        <w:t>对各项数据进行全面核对和查实，切实做到账实相符，保证决算数据真实准确完整。</w:t>
      </w:r>
      <w:r>
        <w:rPr>
          <w:rFonts w:ascii="Arial" w:hAnsi="Arial" w:eastAsia="仿宋_GB2312" w:cs="Arial"/>
          <w:color w:val="000000"/>
          <w:kern w:val="0"/>
          <w:sz w:val="32"/>
          <w:szCs w:val="32"/>
        </w:rPr>
        <w:t> </w:t>
      </w:r>
      <w:r>
        <w:rPr>
          <w:rFonts w:hint="eastAsia" w:ascii="Arial" w:hAnsi="Arial" w:eastAsia="仿宋_GB2312" w:cs="Arial"/>
          <w:color w:val="000000"/>
          <w:kern w:val="0"/>
          <w:sz w:val="32"/>
          <w:szCs w:val="32"/>
        </w:rPr>
        <w:t>制定完整的财务管理制度。</w:t>
      </w:r>
    </w:p>
    <w:p>
      <w:pPr>
        <w:adjustRightInd w:val="0"/>
        <w:snapToGrid w:val="0"/>
        <w:spacing w:line="560" w:lineRule="exact"/>
        <w:ind w:firstLine="643" w:firstLineChars="200"/>
        <w:rPr>
          <w:rFonts w:eastAsia="楷体_GB2312"/>
          <w:b/>
          <w:sz w:val="32"/>
          <w:szCs w:val="32"/>
        </w:rPr>
      </w:pPr>
      <w:r>
        <w:rPr>
          <w:rFonts w:hint="eastAsia" w:eastAsia="楷体_GB2312"/>
          <w:b/>
          <w:sz w:val="32"/>
          <w:szCs w:val="32"/>
        </w:rPr>
        <w:t>（二）项目支出</w:t>
      </w:r>
    </w:p>
    <w:p>
      <w:pPr>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019年</w:t>
      </w:r>
      <w:r>
        <w:rPr>
          <w:rFonts w:hint="eastAsia" w:ascii="仿宋_GB2312" w:hAnsi="仿宋" w:eastAsia="仿宋_GB2312"/>
          <w:sz w:val="32"/>
          <w:szCs w:val="32"/>
        </w:rPr>
        <w:t>项目支出829204元，主要为博物馆专项支出。</w:t>
      </w:r>
    </w:p>
    <w:p>
      <w:pPr>
        <w:ind w:firstLine="640" w:firstLineChars="200"/>
        <w:rPr>
          <w:rFonts w:ascii="仿宋_GB2312" w:hAnsi="仿宋" w:eastAsia="仿宋_GB2312"/>
          <w:sz w:val="32"/>
          <w:szCs w:val="32"/>
        </w:rPr>
      </w:pPr>
      <w:r>
        <w:rPr>
          <w:rFonts w:ascii="仿宋_GB2312" w:hAnsi="仿宋" w:eastAsia="仿宋_GB2312"/>
          <w:sz w:val="32"/>
          <w:szCs w:val="32"/>
        </w:rPr>
        <w:t>项目开展：</w:t>
      </w:r>
    </w:p>
    <w:p>
      <w:pPr>
        <w:ind w:firstLine="640" w:firstLineChars="200"/>
        <w:rPr>
          <w:rFonts w:ascii="仿宋_GB2312" w:hAnsi="仿宋" w:eastAsia="仿宋_GB2312"/>
          <w:sz w:val="32"/>
          <w:szCs w:val="32"/>
        </w:rPr>
      </w:pPr>
      <w:r>
        <w:rPr>
          <w:rFonts w:hint="eastAsia" w:ascii="仿宋_GB2312" w:hAnsi="仿宋" w:eastAsia="仿宋_GB2312"/>
          <w:sz w:val="32"/>
          <w:szCs w:val="32"/>
        </w:rPr>
        <w:t>1、全面开馆圆满完成</w:t>
      </w:r>
    </w:p>
    <w:p>
      <w:pPr>
        <w:ind w:firstLine="640" w:firstLineChars="200"/>
        <w:rPr>
          <w:rFonts w:ascii="仿宋_GB2312" w:hAnsi="仿宋" w:eastAsia="仿宋_GB2312"/>
          <w:sz w:val="32"/>
          <w:szCs w:val="32"/>
        </w:rPr>
      </w:pPr>
      <w:r>
        <w:rPr>
          <w:rFonts w:hint="eastAsia" w:ascii="仿宋_GB2312" w:hAnsi="仿宋" w:eastAsia="仿宋_GB2312"/>
          <w:sz w:val="32"/>
          <w:szCs w:val="32"/>
        </w:rPr>
        <w:t>一是陈列布展精致精美。在试运行“袁隆平与杂交水稻陈列”展厅的基础上，完成水稻历史厅“稻米香万年”和水稻科技厅“奇幻的旅程”两大主题陈列，通过改善细节、优化布局、调整展品，给观众带来最佳视觉体验和参观感受，三大主题陈列深受社会好评。</w:t>
      </w:r>
    </w:p>
    <w:p>
      <w:pPr>
        <w:ind w:firstLine="640" w:firstLineChars="200"/>
        <w:rPr>
          <w:rFonts w:ascii="仿宋_GB2312" w:hAnsi="仿宋" w:eastAsia="仿宋_GB2312"/>
          <w:sz w:val="32"/>
          <w:szCs w:val="32"/>
        </w:rPr>
      </w:pPr>
      <w:r>
        <w:rPr>
          <w:rFonts w:hint="eastAsia" w:ascii="仿宋_GB2312" w:hAnsi="仿宋" w:eastAsia="仿宋_GB2312"/>
          <w:sz w:val="32"/>
          <w:szCs w:val="32"/>
        </w:rPr>
        <w:t>二是馆藏资源得到丰富。完成500多件（套）文物的登记账。邀请著名文物专家傅举有在省文物总店鉴定了31件代征青铜农耕用具，并采用单一来源采购进行征集。袁氏宗亲会向水稻博物馆捐赠2件袁隆平院士钧瓷肖像。北京金台艺术馆馆长，著名画家、雕塑家袁熙坤先生向隆平水稻博物捐赠了袁隆平铜像，进一步提升了博物馆品味。</w:t>
      </w:r>
    </w:p>
    <w:p>
      <w:pPr>
        <w:ind w:firstLine="640" w:firstLineChars="200"/>
        <w:rPr>
          <w:rFonts w:ascii="仿宋_GB2312" w:hAnsi="仿宋" w:eastAsia="仿宋_GB2312"/>
          <w:sz w:val="32"/>
          <w:szCs w:val="32"/>
        </w:rPr>
      </w:pPr>
      <w:r>
        <w:rPr>
          <w:rFonts w:hint="eastAsia" w:ascii="仿宋_GB2312" w:hAnsi="仿宋" w:eastAsia="仿宋_GB2312"/>
          <w:sz w:val="32"/>
          <w:szCs w:val="32"/>
        </w:rPr>
        <w:t>三是开馆仪式隆重热烈。9月27日，隆平水稻博物馆正式面向社会免费开放，开馆仪式上，“杂交水稻之父”、中国工程院院士袁隆平致辞，湖南省文化和旅游厅副厅长、省文物局局长陈远平宣布开馆，谢华安、邹学校、官春云、印遇龙等院士通过视频寄语隆平水稻博物馆。央视新闻、湖南卫视、湖南经视、中新社、湖南日报、长沙晚报等媒体对开馆情况进行了集中报道。中国新闻网来馆拍摄了《似是故人来》稻作文化专题片。全面开馆以来，日均接待观众达2000人次。</w:t>
      </w:r>
    </w:p>
    <w:p>
      <w:pPr>
        <w:ind w:firstLine="640" w:firstLineChars="200"/>
        <w:rPr>
          <w:rFonts w:ascii="仿宋_GB2312" w:hAnsi="仿宋" w:eastAsia="仿宋_GB2312"/>
          <w:sz w:val="32"/>
          <w:szCs w:val="32"/>
        </w:rPr>
      </w:pPr>
      <w:r>
        <w:rPr>
          <w:rFonts w:hint="eastAsia" w:ascii="仿宋_GB2312" w:hAnsi="仿宋" w:eastAsia="仿宋_GB2312"/>
          <w:sz w:val="32"/>
          <w:szCs w:val="32"/>
        </w:rPr>
        <w:t>2、冠名工作稳步推进</w:t>
      </w:r>
    </w:p>
    <w:p>
      <w:pPr>
        <w:ind w:firstLine="640" w:firstLineChars="200"/>
        <w:rPr>
          <w:rFonts w:ascii="仿宋_GB2312" w:hAnsi="仿宋" w:eastAsia="仿宋_GB2312"/>
          <w:sz w:val="32"/>
          <w:szCs w:val="32"/>
        </w:rPr>
      </w:pPr>
      <w:r>
        <w:rPr>
          <w:rFonts w:hint="eastAsia" w:ascii="仿宋_GB2312" w:hAnsi="仿宋" w:eastAsia="仿宋_GB2312"/>
          <w:sz w:val="32"/>
          <w:szCs w:val="32"/>
        </w:rPr>
        <w:t>一是提交了一封书信。5月16日，袁隆平院士就冠名工作向国家文物局局长刘玉珠写信予以支持，得到刘玉珠局长的回复，责成博物馆与社会文物司进行办理。</w:t>
      </w:r>
    </w:p>
    <w:p>
      <w:pPr>
        <w:ind w:firstLine="640" w:firstLineChars="200"/>
        <w:rPr>
          <w:rFonts w:ascii="仿宋_GB2312" w:hAnsi="仿宋" w:eastAsia="仿宋_GB2312"/>
          <w:sz w:val="32"/>
          <w:szCs w:val="32"/>
        </w:rPr>
      </w:pPr>
      <w:r>
        <w:rPr>
          <w:rFonts w:hint="eastAsia" w:ascii="仿宋_GB2312" w:hAnsi="仿宋" w:eastAsia="仿宋_GB2312"/>
          <w:sz w:val="32"/>
          <w:szCs w:val="32"/>
        </w:rPr>
        <w:t>二是递交了两个报告。6月22日，向国家文物局博物馆与社会文物司金瑞国副司长递交了冠名工作情况汇报材料；10月14日，省文物局以文件的形式，向国家文物局递交了冠名进展情况的汇报。</w:t>
      </w:r>
    </w:p>
    <w:p>
      <w:pPr>
        <w:ind w:firstLine="640" w:firstLineChars="200"/>
        <w:rPr>
          <w:rFonts w:ascii="仿宋_GB2312" w:hAnsi="仿宋" w:eastAsia="仿宋_GB2312"/>
          <w:sz w:val="32"/>
          <w:szCs w:val="32"/>
        </w:rPr>
      </w:pPr>
      <w:r>
        <w:rPr>
          <w:rFonts w:hint="eastAsia" w:ascii="仿宋_GB2312" w:hAnsi="仿宋" w:eastAsia="仿宋_GB2312"/>
          <w:sz w:val="32"/>
          <w:szCs w:val="32"/>
        </w:rPr>
        <w:t>三是争取了上级支持。向省、市文物局领导就冠名工作进行专题汇报，得到全力支持。5月17日，长沙市向国家文物局汇报专题工作中将冠名工作作为第一条予以提出。11月5日下午，国家文物局博物馆与社会文物司司长罗静一行到隆平水稻博物馆调研座谈，围绕冠名中国水稻博物馆工作进行了讨论交流。全年争取了省文化场馆建设扶持经费30万元，基地补助经费11万元。</w:t>
      </w:r>
    </w:p>
    <w:p>
      <w:pPr>
        <w:spacing w:line="560" w:lineRule="exact"/>
        <w:ind w:firstLine="640" w:firstLineChars="200"/>
        <w:rPr>
          <w:rFonts w:eastAsia="黑体"/>
          <w:kern w:val="0"/>
          <w:sz w:val="32"/>
          <w:szCs w:val="32"/>
        </w:rPr>
      </w:pPr>
      <w:r>
        <w:rPr>
          <w:rFonts w:hint="eastAsia" w:eastAsia="黑体"/>
          <w:kern w:val="0"/>
          <w:sz w:val="32"/>
          <w:szCs w:val="32"/>
        </w:rPr>
        <w:t>三、部门项目组织实施情况</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隆平水稻博物馆在区委、区政府的正确领导和关心支持下，始终围绕全面开馆工作目标，不断完善展陈质量，全面提高服务水平，逐步丰富社教内容，较好地完成了全年工作任务。</w:t>
      </w:r>
    </w:p>
    <w:p>
      <w:pPr>
        <w:pStyle w:val="8"/>
        <w:spacing w:line="640" w:lineRule="exact"/>
        <w:ind w:firstLine="0" w:firstLineChars="0"/>
        <w:rPr>
          <w:rFonts w:eastAsia="黑体"/>
          <w:sz w:val="32"/>
          <w:szCs w:val="32"/>
        </w:rPr>
      </w:pPr>
      <w:r>
        <w:rPr>
          <w:rFonts w:hint="eastAsia" w:eastAsia="黑体"/>
          <w:sz w:val="32"/>
          <w:szCs w:val="32"/>
        </w:rPr>
        <w:t>四、资产管理情况</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资产管理制度完整，程序符合资产管理要求。</w:t>
      </w:r>
    </w:p>
    <w:p>
      <w:pPr>
        <w:adjustRightInd w:val="0"/>
        <w:snapToGrid w:val="0"/>
        <w:spacing w:line="560" w:lineRule="exact"/>
        <w:ind w:firstLine="640" w:firstLineChars="200"/>
        <w:rPr>
          <w:rFonts w:eastAsia="黑体"/>
          <w:sz w:val="32"/>
          <w:szCs w:val="32"/>
        </w:rPr>
      </w:pPr>
      <w:r>
        <w:rPr>
          <w:rFonts w:hint="eastAsia" w:eastAsia="黑体"/>
          <w:sz w:val="32"/>
          <w:szCs w:val="32"/>
        </w:rPr>
        <w:t>五、部门整体支出绩效情况</w:t>
      </w:r>
    </w:p>
    <w:p>
      <w:pPr>
        <w:ind w:firstLine="643" w:firstLineChars="200"/>
        <w:rPr>
          <w:rFonts w:ascii="仿宋_GB2312" w:eastAsia="仿宋_GB2312"/>
          <w:color w:val="000000"/>
          <w:sz w:val="32"/>
          <w:szCs w:val="32"/>
        </w:rPr>
      </w:pPr>
      <w:r>
        <w:rPr>
          <w:rFonts w:hint="eastAsia" w:ascii="仿宋_GB2312" w:eastAsia="仿宋_GB2312"/>
          <w:b/>
          <w:color w:val="000000"/>
          <w:sz w:val="32"/>
          <w:szCs w:val="32"/>
        </w:rPr>
        <w:t>一是服务水平有提升。</w:t>
      </w:r>
      <w:r>
        <w:rPr>
          <w:rFonts w:hint="eastAsia" w:ascii="仿宋_GB2312" w:eastAsia="仿宋_GB2312"/>
          <w:color w:val="000000"/>
          <w:sz w:val="32"/>
          <w:szCs w:val="32"/>
        </w:rPr>
        <w:t>利用机构改革契机，充实人员队伍，完成内设机构设定，做到定人定岗定责。加强日常文物巡视管理，严格落实门禁管理登记制度。提升应急处突意识，全年举行3次消防培训演练，杜绝安全事故发生。</w:t>
      </w:r>
    </w:p>
    <w:p>
      <w:pPr>
        <w:ind w:firstLine="643" w:firstLineChars="200"/>
        <w:rPr>
          <w:rFonts w:ascii="仿宋_GB2312" w:hAnsi="宋体" w:eastAsia="仿宋_GB2312"/>
          <w:color w:val="000000"/>
          <w:sz w:val="32"/>
          <w:szCs w:val="32"/>
        </w:rPr>
      </w:pPr>
      <w:r>
        <w:rPr>
          <w:rFonts w:hint="eastAsia" w:ascii="仿宋_GB2312" w:eastAsia="仿宋_GB2312"/>
          <w:b/>
          <w:color w:val="000000"/>
          <w:sz w:val="32"/>
          <w:szCs w:val="32"/>
        </w:rPr>
        <w:t>二是接待服务有保障。</w:t>
      </w:r>
      <w:r>
        <w:rPr>
          <w:rFonts w:hint="eastAsia" w:ascii="仿宋_GB2312" w:hAnsi="宋体" w:eastAsia="仿宋_GB2312"/>
          <w:color w:val="000000"/>
          <w:sz w:val="32"/>
          <w:szCs w:val="32"/>
        </w:rPr>
        <w:t>截</w:t>
      </w:r>
      <w:r>
        <w:rPr>
          <w:rFonts w:hint="eastAsia" w:ascii="仿宋_GB2312" w:hAnsi="宋体" w:eastAsia="仿宋_GB2312"/>
          <w:color w:val="000000"/>
          <w:sz w:val="32"/>
          <w:szCs w:val="32"/>
          <w:lang w:eastAsia="zh-CN"/>
        </w:rPr>
        <w:t>至</w:t>
      </w:r>
      <w:bookmarkStart w:id="0" w:name="_GoBack"/>
      <w:bookmarkEnd w:id="0"/>
      <w:r>
        <w:rPr>
          <w:rFonts w:hint="eastAsia" w:ascii="仿宋_GB2312" w:hAnsi="宋体" w:eastAsia="仿宋_GB2312"/>
          <w:color w:val="000000"/>
          <w:sz w:val="32"/>
          <w:szCs w:val="32"/>
        </w:rPr>
        <w:t>11月底，共接待观众近10万人次</w:t>
      </w:r>
      <w:r>
        <w:rPr>
          <w:rFonts w:hint="eastAsia" w:ascii="仿宋_GB2312" w:eastAsia="仿宋_GB2312"/>
          <w:color w:val="000000"/>
          <w:sz w:val="32"/>
          <w:szCs w:val="32"/>
        </w:rPr>
        <w:t>。先后接待了中央外事办副主任刘建超、省委常委、省委秘书长张剑飞、中央党校</w:t>
      </w:r>
      <w:r>
        <w:rPr>
          <w:rFonts w:ascii="仿宋_GB2312" w:eastAsia="仿宋_GB2312"/>
          <w:color w:val="000000"/>
          <w:sz w:val="32"/>
          <w:szCs w:val="32"/>
        </w:rPr>
        <w:t>中青班社会调研组</w:t>
      </w:r>
      <w:r>
        <w:rPr>
          <w:rFonts w:hint="eastAsia" w:ascii="仿宋_GB2312" w:eastAsia="仿宋_GB2312"/>
          <w:color w:val="000000"/>
          <w:sz w:val="32"/>
          <w:szCs w:val="32"/>
        </w:rPr>
        <w:t>、非洲东帝汶、中非经贸博览会、中部农业博览会、等领导嘉宾110多批次来馆参观考察，圆满完成了全年接待任务。</w:t>
      </w:r>
    </w:p>
    <w:p>
      <w:pPr>
        <w:snapToGrid w:val="0"/>
        <w:spacing w:line="520" w:lineRule="exact"/>
        <w:ind w:firstLine="643" w:firstLineChars="200"/>
        <w:rPr>
          <w:rFonts w:ascii="仿宋_GB2312" w:hAnsi="仿宋" w:eastAsia="仿宋_GB2312"/>
          <w:sz w:val="32"/>
          <w:szCs w:val="32"/>
        </w:rPr>
      </w:pPr>
      <w:r>
        <w:rPr>
          <w:rFonts w:hint="eastAsia" w:ascii="仿宋_GB2312" w:eastAsia="仿宋_GB2312"/>
          <w:b/>
          <w:color w:val="000000"/>
          <w:sz w:val="32"/>
          <w:szCs w:val="32"/>
        </w:rPr>
        <w:t>三是品牌创建有效果。</w:t>
      </w:r>
      <w:r>
        <w:rPr>
          <w:rFonts w:hint="eastAsia" w:ascii="仿宋_GB2312" w:eastAsia="仿宋_GB2312"/>
          <w:color w:val="000000"/>
          <w:sz w:val="32"/>
          <w:szCs w:val="32"/>
        </w:rPr>
        <w:t>成功创建</w:t>
      </w:r>
      <w:r>
        <w:rPr>
          <w:rFonts w:hint="eastAsia" w:ascii="仿宋_GB2312" w:hAnsi="宋体" w:eastAsia="仿宋_GB2312"/>
          <w:color w:val="000000"/>
          <w:sz w:val="32"/>
          <w:szCs w:val="32"/>
        </w:rPr>
        <w:t>成为长沙市海峡两岸交流基地。顺利完成长沙市专业科普场馆（基地）、长沙市社会科学普及基地评价工作，并被评为合格单位。</w:t>
      </w:r>
      <w:r>
        <w:rPr>
          <w:rFonts w:hint="eastAsia" w:ascii="仿宋_GB2312" w:eastAsia="仿宋_GB2312"/>
          <w:color w:val="000000"/>
          <w:sz w:val="32"/>
          <w:szCs w:val="32"/>
        </w:rPr>
        <w:t>利用国际博物馆日、文化遗产日等契机，与湖南金色农华种业科技有限公司联合举办的“传统的未来——又香优龙丝苗全国示范启动大会”，博物馆的知名度和影响力得到进一步扩大。</w:t>
      </w:r>
    </w:p>
    <w:p>
      <w:pPr>
        <w:adjustRightInd w:val="0"/>
        <w:snapToGrid w:val="0"/>
        <w:spacing w:line="560" w:lineRule="exact"/>
        <w:ind w:firstLine="640" w:firstLineChars="200"/>
        <w:rPr>
          <w:rFonts w:eastAsia="黑体"/>
          <w:sz w:val="32"/>
          <w:szCs w:val="32"/>
        </w:rPr>
      </w:pPr>
    </w:p>
    <w:p>
      <w:pPr>
        <w:wordWrap w:val="0"/>
        <w:adjustRightInd w:val="0"/>
        <w:snapToGrid w:val="0"/>
        <w:spacing w:line="560" w:lineRule="exact"/>
        <w:ind w:firstLine="640" w:firstLineChars="200"/>
        <w:jc w:val="left"/>
        <w:rPr>
          <w:rFonts w:eastAsia="黑体" w:cs="宋体"/>
          <w:kern w:val="0"/>
          <w:sz w:val="32"/>
          <w:szCs w:val="32"/>
        </w:rPr>
      </w:pPr>
      <w:r>
        <w:rPr>
          <w:rFonts w:hint="eastAsia" w:eastAsia="黑体" w:cs="宋体"/>
          <w:kern w:val="0"/>
          <w:sz w:val="32"/>
          <w:szCs w:val="32"/>
        </w:rPr>
        <w:t xml:space="preserve">                     </w:t>
      </w:r>
    </w:p>
    <w:p>
      <w:pPr>
        <w:adjustRightInd w:val="0"/>
        <w:snapToGrid w:val="0"/>
        <w:spacing w:line="560" w:lineRule="exact"/>
        <w:ind w:firstLine="640" w:firstLineChars="200"/>
        <w:jc w:val="right"/>
        <w:rPr>
          <w:rFonts w:eastAsia="黑体" w:cs="宋体"/>
          <w:kern w:val="0"/>
          <w:sz w:val="32"/>
          <w:szCs w:val="32"/>
        </w:rPr>
      </w:pPr>
      <w:r>
        <w:rPr>
          <w:rFonts w:hint="eastAsia" w:eastAsia="黑体" w:cs="宋体"/>
          <w:kern w:val="0"/>
          <w:sz w:val="32"/>
          <w:szCs w:val="32"/>
        </w:rPr>
        <w:t xml:space="preserve">  填报单位：隆平水稻博物馆</w:t>
      </w:r>
    </w:p>
    <w:p>
      <w:pPr>
        <w:adjustRightInd w:val="0"/>
        <w:snapToGrid w:val="0"/>
        <w:spacing w:line="560" w:lineRule="exact"/>
        <w:ind w:firstLine="640" w:firstLineChars="200"/>
        <w:jc w:val="right"/>
        <w:rPr>
          <w:rFonts w:eastAsia="黑体" w:cs="宋体"/>
          <w:kern w:val="0"/>
          <w:sz w:val="32"/>
          <w:szCs w:val="32"/>
        </w:rPr>
        <w:sectPr>
          <w:footerReference r:id="rId3" w:type="default"/>
          <w:pgSz w:w="11906" w:h="16838"/>
          <w:pgMar w:top="1474" w:right="1587" w:bottom="1474" w:left="1587" w:header="851" w:footer="992" w:gutter="0"/>
          <w:cols w:space="720" w:num="1"/>
          <w:docGrid w:type="lines" w:linePitch="323" w:charSpace="0"/>
        </w:sectPr>
      </w:pPr>
      <w:r>
        <w:rPr>
          <w:rFonts w:hint="eastAsia" w:eastAsia="黑体" w:cs="宋体"/>
          <w:kern w:val="0"/>
          <w:sz w:val="32"/>
          <w:szCs w:val="32"/>
        </w:rPr>
        <w:t xml:space="preserve">                       日    期：2020年5月7日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19B6C5"/>
    <w:multiLevelType w:val="singleLevel"/>
    <w:tmpl w:val="9919B6C5"/>
    <w:lvl w:ilvl="0" w:tentative="0">
      <w:start w:val="1"/>
      <w:numFmt w:val="chineseCounting"/>
      <w:suff w:val="nothing"/>
      <w:lvlText w:val="（%1）"/>
      <w:lvlJc w:val="left"/>
      <w:rPr>
        <w:rFonts w:hint="eastAsia"/>
      </w:rPr>
    </w:lvl>
  </w:abstractNum>
  <w:abstractNum w:abstractNumId="1">
    <w:nsid w:val="68AD4D4B"/>
    <w:multiLevelType w:val="singleLevel"/>
    <w:tmpl w:val="68AD4D4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A8"/>
    <w:rsid w:val="001B134B"/>
    <w:rsid w:val="00211389"/>
    <w:rsid w:val="0025572B"/>
    <w:rsid w:val="00341BF7"/>
    <w:rsid w:val="009F69A8"/>
    <w:rsid w:val="00B137DD"/>
    <w:rsid w:val="00C926CC"/>
    <w:rsid w:val="04A03F09"/>
    <w:rsid w:val="6143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脚 Char"/>
    <w:basedOn w:val="6"/>
    <w:link w:val="2"/>
    <w:uiPriority w:val="0"/>
    <w:rPr>
      <w:rFonts w:ascii="Calibri" w:hAnsi="Calibri" w:eastAsia="宋体" w:cs="Times New Roman"/>
      <w:sz w:val="18"/>
      <w:szCs w:val="24"/>
    </w:rPr>
  </w:style>
  <w:style w:type="paragraph" w:customStyle="1" w:styleId="8">
    <w:name w:val="列出段落1"/>
    <w:basedOn w:val="1"/>
    <w:unhideWhenUsed/>
    <w:qFormat/>
    <w:uiPriority w:val="99"/>
    <w:pPr>
      <w:ind w:firstLine="420" w:firstLineChars="200"/>
    </w:pPr>
  </w:style>
  <w:style w:type="character" w:customStyle="1" w:styleId="9">
    <w:name w:val="页眉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1145</Words>
  <Characters>6529</Characters>
  <Lines>54</Lines>
  <Paragraphs>15</Paragraphs>
  <TotalTime>22</TotalTime>
  <ScaleCrop>false</ScaleCrop>
  <LinksUpToDate>false</LinksUpToDate>
  <CharactersWithSpaces>7659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2020-05-17T06:15:00Z</dcterms:created>
  <dc:creator>11</dc:creator>
  <cp:lastModifiedBy>李青</cp:lastModifiedBy>
  <dcterms:modified xsi:type="dcterms:W3CDTF">2021-09-13T08:35:19Z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ED87D12F72C94ABFA47531A57B262690</vt:lpwstr>
  </property>
</Properties>
</file>