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2</w:t>
      </w:r>
      <w:r>
        <w:rPr>
          <w:rFonts w:hint="eastAsia" w:eastAsia="方正小标宋简体"/>
          <w:sz w:val="44"/>
          <w:szCs w:val="44"/>
        </w:rPr>
        <w:t>年</w:t>
      </w:r>
      <w:r>
        <w:rPr>
          <w:rFonts w:hint="eastAsia" w:eastAsia="方正小标宋简体"/>
          <w:sz w:val="44"/>
          <w:szCs w:val="44"/>
          <w:lang w:eastAsia="zh-CN"/>
        </w:rPr>
        <w:t>芙蓉区</w:t>
      </w:r>
      <w:r>
        <w:rPr>
          <w:rFonts w:hint="eastAsia" w:ascii="Microsoft Sans Serif" w:hAnsi="Microsoft Sans Serif" w:eastAsia="方正小标宋简体" w:cs="Microsoft Sans Serif"/>
          <w:sz w:val="44"/>
          <w:szCs w:val="44"/>
        </w:rPr>
        <w:t>马王堆街道办事处</w:t>
      </w:r>
      <w:r>
        <w:rPr>
          <w:rFonts w:hint="eastAsia" w:eastAsia="方正小标宋简体"/>
          <w:sz w:val="44"/>
          <w:szCs w:val="44"/>
        </w:rPr>
        <w:t>部门整体绩效</w:t>
      </w:r>
    </w:p>
    <w:p>
      <w:pPr>
        <w:widowControl/>
        <w:shd w:val="clear" w:color="auto" w:fill="FFFFFF"/>
        <w:spacing w:line="700" w:lineRule="exact"/>
        <w:jc w:val="center"/>
        <w:rPr>
          <w:rFonts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eastAsia="方正小标宋简体"/>
          <w:sz w:val="44"/>
          <w:szCs w:val="44"/>
        </w:rPr>
      </w:pPr>
      <w:r>
        <w:rPr>
          <w:rFonts w:hint="eastAsia" w:ascii="宋体" w:hAnsi="宋体" w:cs="仿宋_GB2312"/>
          <w:sz w:val="28"/>
          <w:szCs w:val="28"/>
        </w:rPr>
        <w:t>为进一步规范财政资金管理，强化部门责任意识，切实提高财政资金使用效益，根据财政部及《长沙市芙蓉区财政支出绩效评价实施办法（试行）》（芙财绩〔2015〕4号）等文件的有关规定，我街道积极参与对2021年度部门整</w:t>
      </w:r>
      <w:bookmarkStart w:id="0" w:name="_GoBack"/>
      <w:bookmarkEnd w:id="0"/>
      <w:r>
        <w:rPr>
          <w:rFonts w:hint="eastAsia" w:ascii="宋体" w:hAnsi="宋体" w:cs="仿宋_GB2312"/>
          <w:sz w:val="28"/>
          <w:szCs w:val="28"/>
        </w:rPr>
        <w:t>体支出绩效评价的工作，现将具体的情况报告如下：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部门概况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bCs/>
          <w:sz w:val="28"/>
          <w:szCs w:val="28"/>
        </w:rPr>
      </w:pPr>
      <w:r>
        <w:rPr>
          <w:rFonts w:hint="eastAsia" w:ascii="宋体" w:hAnsi="宋体" w:cs="仿宋_GB2312"/>
          <w:bCs/>
          <w:sz w:val="28"/>
          <w:szCs w:val="28"/>
        </w:rPr>
        <w:t>（一）部门基本情况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长沙市芙蓉区马王堆街道办事处于1998年8月成立。2011年12月31日再度进行了区街划调整。现在</w:t>
      </w:r>
      <w:r>
        <w:rPr>
          <w:rFonts w:ascii="宋体" w:hAnsi="宋体" w:cs="仿宋_GB2312"/>
          <w:sz w:val="28"/>
          <w:szCs w:val="28"/>
        </w:rPr>
        <w:t>马王堆街道位于浏阳河西岸，东北面分别与马坡岭街道和开福区隔河相望，南面与东屯渡街道毗邻，西面与火星、湘湖两街接壤。街道辖区总面积3.9平方公里，常住人口约10万人，下辖</w:t>
      </w:r>
      <w:r>
        <w:rPr>
          <w:rFonts w:hint="eastAsia" w:ascii="宋体" w:hAnsi="宋体" w:cs="仿宋_GB2312"/>
          <w:sz w:val="28"/>
          <w:szCs w:val="28"/>
        </w:rPr>
        <w:t>五</w:t>
      </w:r>
      <w:r>
        <w:rPr>
          <w:rFonts w:ascii="宋体" w:hAnsi="宋体" w:cs="仿宋_GB2312"/>
          <w:sz w:val="28"/>
          <w:szCs w:val="28"/>
        </w:rPr>
        <w:t>个社区（滩头坪社区、古汉城社区、马王堆社区</w:t>
      </w:r>
      <w:r>
        <w:rPr>
          <w:rFonts w:hint="eastAsia" w:ascii="宋体" w:hAnsi="宋体" w:cs="仿宋_GB2312"/>
          <w:sz w:val="28"/>
          <w:szCs w:val="28"/>
        </w:rPr>
        <w:t>、九道湾</w:t>
      </w:r>
      <w:r>
        <w:rPr>
          <w:rFonts w:ascii="宋体" w:hAnsi="宋体" w:cs="仿宋_GB2312"/>
          <w:sz w:val="28"/>
          <w:szCs w:val="28"/>
        </w:rPr>
        <w:t>社区</w:t>
      </w:r>
      <w:r>
        <w:rPr>
          <w:rFonts w:hint="eastAsia" w:ascii="宋体" w:hAnsi="宋体" w:cs="仿宋_GB2312"/>
          <w:sz w:val="28"/>
          <w:szCs w:val="28"/>
        </w:rPr>
        <w:t>、新桥新村</w:t>
      </w:r>
      <w:r>
        <w:rPr>
          <w:rFonts w:ascii="宋体" w:hAnsi="宋体" w:cs="仿宋_GB2312"/>
          <w:sz w:val="28"/>
          <w:szCs w:val="28"/>
        </w:rPr>
        <w:t>社区）、</w:t>
      </w:r>
      <w:r>
        <w:rPr>
          <w:rFonts w:hint="eastAsia" w:ascii="宋体" w:hAnsi="宋体" w:cs="仿宋_GB2312"/>
          <w:sz w:val="28"/>
          <w:szCs w:val="28"/>
        </w:rPr>
        <w:t>一</w:t>
      </w:r>
      <w:r>
        <w:rPr>
          <w:rFonts w:ascii="宋体" w:hAnsi="宋体" w:cs="仿宋_GB2312"/>
          <w:sz w:val="28"/>
          <w:szCs w:val="28"/>
        </w:rPr>
        <w:t>个</w:t>
      </w:r>
      <w:r>
        <w:rPr>
          <w:rFonts w:hint="eastAsia" w:ascii="宋体" w:hAnsi="宋体" w:cs="仿宋_GB2312"/>
          <w:sz w:val="28"/>
          <w:szCs w:val="28"/>
        </w:rPr>
        <w:t>社区筹备组</w:t>
      </w:r>
      <w:r>
        <w:rPr>
          <w:rFonts w:ascii="宋体" w:hAnsi="宋体" w:cs="仿宋_GB2312"/>
          <w:sz w:val="28"/>
          <w:szCs w:val="28"/>
        </w:rPr>
        <w:t>（火炬</w:t>
      </w:r>
      <w:r>
        <w:rPr>
          <w:rFonts w:hint="eastAsia" w:ascii="宋体" w:hAnsi="宋体" w:cs="仿宋_GB2312"/>
          <w:sz w:val="28"/>
          <w:szCs w:val="28"/>
        </w:rPr>
        <w:t>社区筹备组</w:t>
      </w:r>
      <w:r>
        <w:rPr>
          <w:rFonts w:ascii="宋体" w:hAnsi="宋体" w:cs="仿宋_GB2312"/>
          <w:sz w:val="28"/>
          <w:szCs w:val="28"/>
        </w:rPr>
        <w:t>），共有街属企事业单位</w:t>
      </w:r>
      <w:r>
        <w:rPr>
          <w:rFonts w:hint="eastAsia" w:ascii="宋体" w:hAnsi="宋体" w:cs="仿宋_GB2312"/>
          <w:sz w:val="28"/>
          <w:szCs w:val="28"/>
        </w:rPr>
        <w:t>2</w:t>
      </w:r>
      <w:r>
        <w:rPr>
          <w:rFonts w:ascii="宋体" w:hAnsi="宋体" w:cs="仿宋_GB2312"/>
          <w:sz w:val="28"/>
          <w:szCs w:val="28"/>
        </w:rPr>
        <w:t>个（社区服务中心、长善垸堤委会）。省、市单位驻街</w:t>
      </w:r>
      <w:r>
        <w:rPr>
          <w:rFonts w:hint="eastAsia" w:ascii="宋体" w:hAnsi="宋体" w:cs="仿宋_GB2312"/>
          <w:sz w:val="28"/>
          <w:szCs w:val="28"/>
        </w:rPr>
        <w:t>单位有</w:t>
      </w:r>
      <w:r>
        <w:rPr>
          <w:rFonts w:ascii="宋体" w:hAnsi="宋体" w:cs="仿宋_GB2312"/>
          <w:sz w:val="28"/>
          <w:szCs w:val="28"/>
        </w:rPr>
        <w:t>省高级人民法院、省检察院、省审计厅、省社会主义学院、</w:t>
      </w:r>
      <w:r>
        <w:rPr>
          <w:rFonts w:hint="eastAsia" w:ascii="宋体" w:hAnsi="宋体" w:cs="仿宋_GB2312"/>
          <w:sz w:val="28"/>
          <w:szCs w:val="28"/>
        </w:rPr>
        <w:t>省老干所</w:t>
      </w:r>
      <w:r>
        <w:rPr>
          <w:rFonts w:ascii="宋体" w:hAnsi="宋体" w:cs="仿宋_GB2312"/>
          <w:sz w:val="28"/>
          <w:szCs w:val="28"/>
        </w:rPr>
        <w:t>、马王堆疗养院</w:t>
      </w:r>
      <w:r>
        <w:rPr>
          <w:rFonts w:hint="eastAsia" w:ascii="宋体" w:hAnsi="宋体" w:cs="仿宋_GB2312"/>
          <w:sz w:val="28"/>
          <w:szCs w:val="28"/>
        </w:rPr>
        <w:t>、省人民医院南院、</w:t>
      </w:r>
      <w:r>
        <w:rPr>
          <w:rFonts w:ascii="宋体" w:hAnsi="宋体" w:cs="仿宋_GB2312"/>
          <w:sz w:val="28"/>
          <w:szCs w:val="28"/>
        </w:rPr>
        <w:t>长沙晚报报社等。举世闻名的马王堆古汉墓位于马王堆疗养院内。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b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马王堆街道办事处为乡镇级行政单位，财务核算适用行政单位会计制度。根据财政部整体支出绩效评价管理要求，为全面、系统的反映我街道整体支出绩效情况，本绩效评价报告对街道202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</w:t>
      </w:r>
      <w:r>
        <w:rPr>
          <w:rFonts w:hint="eastAsia" w:ascii="宋体" w:hAnsi="宋体" w:cs="仿宋_GB2312"/>
          <w:sz w:val="28"/>
          <w:szCs w:val="28"/>
        </w:rPr>
        <w:t>年整体经费支出情况进行评价。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hint="eastAsia" w:ascii="宋体" w:hAnsi="宋体" w:cs="仿宋_GB2312"/>
          <w:sz w:val="28"/>
          <w:szCs w:val="28"/>
        </w:rPr>
        <w:t>1、人员情况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截止到202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</w:t>
      </w:r>
      <w:r>
        <w:rPr>
          <w:rFonts w:hint="eastAsia" w:ascii="宋体" w:hAnsi="宋体" w:cs="仿宋_GB2312"/>
          <w:sz w:val="28"/>
          <w:szCs w:val="28"/>
        </w:rPr>
        <w:t>年12月街道在职人员机关52人（其中在职人员4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6</w:t>
      </w:r>
      <w:r>
        <w:rPr>
          <w:rFonts w:hint="eastAsia" w:ascii="宋体" w:hAnsi="宋体" w:cs="仿宋_GB2312"/>
          <w:sz w:val="28"/>
          <w:szCs w:val="28"/>
        </w:rPr>
        <w:t>,人，政府雇员3人），</w:t>
      </w:r>
      <w:r>
        <w:rPr>
          <w:rFonts w:hint="eastAsia" w:ascii="宋体" w:hAnsi="宋体" w:cs="仿宋_GB2312"/>
          <w:sz w:val="28"/>
          <w:szCs w:val="28"/>
          <w:lang w:eastAsia="zh-CN"/>
        </w:rPr>
        <w:t>转业士官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6人，</w:t>
      </w:r>
      <w:r>
        <w:rPr>
          <w:rFonts w:hint="eastAsia" w:ascii="宋体" w:hAnsi="宋体" w:cs="仿宋_GB2312"/>
          <w:sz w:val="28"/>
          <w:szCs w:val="28"/>
        </w:rPr>
        <w:t>退休干部4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9</w:t>
      </w:r>
      <w:r>
        <w:rPr>
          <w:rFonts w:hint="eastAsia" w:ascii="宋体" w:hAnsi="宋体" w:cs="仿宋_GB2312"/>
          <w:sz w:val="28"/>
          <w:szCs w:val="28"/>
        </w:rPr>
        <w:t>人，司法所2人（区发工资2人），社区员额人员64人，公益性岗位人员1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12</w:t>
      </w:r>
      <w:r>
        <w:rPr>
          <w:rFonts w:hint="eastAsia" w:ascii="宋体" w:hAnsi="宋体" w:cs="仿宋_GB2312"/>
          <w:sz w:val="28"/>
          <w:szCs w:val="28"/>
        </w:rPr>
        <w:t>人，街道集体干部23人（其中在职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6</w:t>
      </w:r>
      <w:r>
        <w:rPr>
          <w:rFonts w:hint="eastAsia" w:ascii="宋体" w:hAnsi="宋体" w:cs="仿宋_GB2312"/>
          <w:sz w:val="28"/>
          <w:szCs w:val="28"/>
        </w:rPr>
        <w:t>人,退休16人），临聘人员1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9</w:t>
      </w:r>
      <w:r>
        <w:rPr>
          <w:rFonts w:hint="eastAsia" w:ascii="宋体" w:hAnsi="宋体" w:cs="仿宋_GB2312"/>
          <w:sz w:val="28"/>
          <w:szCs w:val="28"/>
        </w:rPr>
        <w:t>人，遗属3人。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2、主要工作职责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1）贯彻执行国家法律、法规、规章和市、区人民政府的决定、命令、指示，完成市、区人民政府部署的各项任务；　　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2）负责居民区、街巷的环境卫生和绿化美化的管理工作，组织辖区单位和居民开展爱国卫生运动，落实门前五包责任制；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3）组织和监督对违法建筑、违法占用道路、无照经营以及违反市容环境卫生、绿化管理规定行为的查处工作；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4）配合市、区环境保护部门监督环境污染项目的治理；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5）负责本辖区村的拆迁和安置工作。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6）协同建设主管部门监督施工单位依法施工，防治施工扬尘、扰民；配合建设单位、施工单位做好居民工作，维护施工秩序；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7）对居住小区的物业管理进行指导和监督检查；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8）组织辖区单位和居民开展多种形式的社会主义精神文明创建活动；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9）制定本辖区社会治安综合治理规划，并组织落实；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10）负责本辖区外来人口的综合管理和地区交通安全工作；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11）负责计划生育、统计、红十字会、信访、人民调解工作；协调有关部门做好劳动就业工作；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12）负责本辖区拥军优属、民兵预备役、征兵、人民防空等工作；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13）维护老年人、妇女、未成年人和残疾人的合法权益；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14）制定社区建设、社区服务发展规划，发展社区服务设施，合理配置社区服务资源；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15）组建社区服务志愿者队伍，动员本辖区单位和居民兴办社区服务事业；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16）兴办社会福利事业，做好社会救助、社会保险等社会保障工作；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17）指导社区居委会工作，及时向上级政府反映居民的意见和要求；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18）对居民进行法制和社会公德教育，组织居民参与社区环境整治等社会公益活动；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19）组织开展群众文化、体育活动和社区教育、卫生工作，普及科学常识；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宋体" w:hAnsi="宋体" w:cs="仿宋_GB2312"/>
          <w:sz w:val="28"/>
          <w:szCs w:val="28"/>
        </w:rPr>
        <w:t>20）承办区政府交办的其他事项。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bCs/>
          <w:sz w:val="28"/>
          <w:szCs w:val="28"/>
        </w:rPr>
      </w:pPr>
      <w:r>
        <w:rPr>
          <w:rFonts w:hint="eastAsia" w:ascii="宋体" w:hAnsi="宋体" w:cs="仿宋_GB2312"/>
          <w:bCs/>
          <w:sz w:val="28"/>
          <w:szCs w:val="28"/>
        </w:rPr>
        <w:t>（二）部门年度预算收支余情况、部门整体支出使用方向和主要内容、涉及范围等。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马王堆街道202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</w:t>
      </w:r>
      <w:r>
        <w:rPr>
          <w:rFonts w:hint="eastAsia" w:ascii="宋体" w:hAnsi="宋体" w:cs="仿宋_GB2312"/>
          <w:sz w:val="28"/>
          <w:szCs w:val="28"/>
        </w:rPr>
        <w:t>年度财政拨款收入预算批复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6967.1</w:t>
      </w:r>
      <w:r>
        <w:rPr>
          <w:rFonts w:hint="eastAsia" w:ascii="宋体" w:hAnsi="宋体" w:cs="仿宋_GB2312"/>
          <w:sz w:val="28"/>
          <w:szCs w:val="28"/>
        </w:rPr>
        <w:t>万元，在执行预算的过程中实际到位指标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7197.9</w:t>
      </w:r>
      <w:r>
        <w:rPr>
          <w:rFonts w:hint="eastAsia" w:ascii="宋体" w:hAnsi="宋体" w:cs="仿宋_GB2312"/>
          <w:sz w:val="28"/>
          <w:szCs w:val="28"/>
        </w:rPr>
        <w:t>万元，其中：财政拨款收入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7066</w:t>
      </w:r>
      <w:r>
        <w:rPr>
          <w:rFonts w:hint="eastAsia" w:ascii="宋体" w:hAnsi="宋体" w:cs="仿宋_GB2312"/>
          <w:sz w:val="28"/>
          <w:szCs w:val="28"/>
        </w:rPr>
        <w:t>万元，预算外其他收入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131.9</w:t>
      </w:r>
      <w:r>
        <w:rPr>
          <w:rFonts w:hint="eastAsia" w:ascii="宋体" w:hAnsi="宋体" w:cs="仿宋_GB2312"/>
          <w:sz w:val="28"/>
          <w:szCs w:val="28"/>
        </w:rPr>
        <w:t>万元。财政实际支出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7198</w:t>
      </w:r>
      <w:r>
        <w:rPr>
          <w:rFonts w:hint="eastAsia" w:ascii="宋体" w:hAnsi="宋体" w:cs="仿宋_GB2312"/>
          <w:sz w:val="28"/>
          <w:szCs w:val="28"/>
        </w:rPr>
        <w:t>万元。其中：基本支出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3700</w:t>
      </w:r>
      <w:r>
        <w:rPr>
          <w:rFonts w:hint="eastAsia" w:ascii="宋体" w:hAnsi="宋体" w:cs="仿宋_GB2312"/>
          <w:sz w:val="28"/>
          <w:szCs w:val="28"/>
        </w:rPr>
        <w:t>万元，项目支出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3498</w:t>
      </w:r>
      <w:r>
        <w:rPr>
          <w:rFonts w:hint="eastAsia" w:ascii="宋体" w:hAnsi="宋体" w:cs="仿宋_GB2312"/>
          <w:sz w:val="28"/>
          <w:szCs w:val="28"/>
        </w:rPr>
        <w:t>万元。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我街支出主要分两个方面：一方面为街道的基本支出，主要包括，机关人员工资福利支出；商品服务支出；对个人和家庭的补助。另一方面为街道的项目支出，主要包括：环卫所项目、社区经费、综合运转经费（含城管、综治、禁毒、武装、退役军人、统计、文化、计生、食安、安监等）专项经费等</w:t>
      </w:r>
    </w:p>
    <w:p>
      <w:pPr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二、部门整体支出管理及使用情况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楷体_GB2312"/>
          <w:bCs/>
          <w:sz w:val="28"/>
          <w:szCs w:val="28"/>
        </w:rPr>
      </w:pPr>
      <w:r>
        <w:rPr>
          <w:rFonts w:hint="eastAsia" w:eastAsia="楷体_GB2312"/>
          <w:bCs/>
          <w:sz w:val="28"/>
          <w:szCs w:val="28"/>
        </w:rPr>
        <w:t>（一）基本支出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32"/>
          <w:szCs w:val="32"/>
        </w:rPr>
      </w:pPr>
      <w:r>
        <w:rPr>
          <w:rFonts w:hint="eastAsia" w:ascii="宋体" w:hAnsi="宋体" w:cs="仿宋_GB2312"/>
          <w:sz w:val="28"/>
          <w:szCs w:val="28"/>
        </w:rPr>
        <w:t>1、基本支出主要包括，人员工资福利支出、商品和服务支出、对个人和家庭的补助、办公设备购置等。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202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</w:t>
      </w:r>
      <w:r>
        <w:rPr>
          <w:rFonts w:hint="eastAsia" w:ascii="宋体" w:hAnsi="宋体" w:cs="仿宋_GB2312"/>
          <w:sz w:val="28"/>
          <w:szCs w:val="28"/>
        </w:rPr>
        <w:t>年街道的基本支出总额为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3700</w:t>
      </w:r>
      <w:r>
        <w:rPr>
          <w:rFonts w:hint="eastAsia" w:ascii="宋体" w:hAnsi="宋体" w:cs="仿宋_GB2312"/>
          <w:sz w:val="28"/>
          <w:szCs w:val="28"/>
        </w:rPr>
        <w:t>万元，占年度总支出的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51.4</w:t>
      </w:r>
      <w:r>
        <w:rPr>
          <w:rFonts w:hint="eastAsia" w:ascii="宋体" w:hAnsi="宋体" w:cs="仿宋_GB2312"/>
          <w:sz w:val="28"/>
          <w:szCs w:val="28"/>
        </w:rPr>
        <w:t>%，其中工资福利支出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2566</w:t>
      </w:r>
      <w:r>
        <w:rPr>
          <w:rFonts w:hint="eastAsia" w:ascii="宋体" w:hAnsi="宋体" w:cs="仿宋_GB2312"/>
          <w:sz w:val="28"/>
          <w:szCs w:val="28"/>
        </w:rPr>
        <w:t>万元，占基本支出的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69.35</w:t>
      </w:r>
      <w:r>
        <w:rPr>
          <w:rFonts w:hint="eastAsia" w:ascii="宋体" w:hAnsi="宋体" w:cs="仿宋_GB2312"/>
          <w:sz w:val="28"/>
          <w:szCs w:val="28"/>
        </w:rPr>
        <w:t>%，商品和服务支出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543</w:t>
      </w:r>
      <w:r>
        <w:rPr>
          <w:rFonts w:hint="eastAsia" w:ascii="宋体" w:hAnsi="宋体" w:cs="仿宋_GB2312"/>
          <w:sz w:val="28"/>
          <w:szCs w:val="28"/>
        </w:rPr>
        <w:t>万元，占基本支出的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14.67</w:t>
      </w:r>
      <w:r>
        <w:rPr>
          <w:rFonts w:hint="eastAsia" w:ascii="宋体" w:hAnsi="宋体" w:cs="仿宋_GB2312"/>
          <w:sz w:val="28"/>
          <w:szCs w:val="28"/>
        </w:rPr>
        <w:t>%，对个人和家庭的其他补助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576</w:t>
      </w:r>
      <w:r>
        <w:rPr>
          <w:rFonts w:hint="eastAsia" w:ascii="宋体" w:hAnsi="宋体" w:cs="仿宋_GB2312"/>
          <w:sz w:val="28"/>
          <w:szCs w:val="28"/>
        </w:rPr>
        <w:t>万元，占基本支出的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15.56</w:t>
      </w:r>
      <w:r>
        <w:rPr>
          <w:rFonts w:hint="eastAsia" w:ascii="宋体" w:hAnsi="宋体" w:cs="仿宋_GB2312"/>
          <w:sz w:val="28"/>
          <w:szCs w:val="28"/>
        </w:rPr>
        <w:t>%，其他资本性支出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14</w:t>
      </w:r>
      <w:r>
        <w:rPr>
          <w:rFonts w:hint="eastAsia" w:ascii="宋体" w:hAnsi="宋体" w:cs="仿宋_GB2312"/>
          <w:sz w:val="28"/>
          <w:szCs w:val="28"/>
        </w:rPr>
        <w:t>万元,占基本支出的0.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4</w:t>
      </w:r>
      <w:r>
        <w:rPr>
          <w:rFonts w:hint="eastAsia" w:ascii="宋体" w:hAnsi="宋体" w:cs="仿宋_GB2312"/>
          <w:sz w:val="28"/>
          <w:szCs w:val="28"/>
        </w:rPr>
        <w:t>%。主要数据如下：</w:t>
      </w:r>
    </w:p>
    <w:p>
      <w:pPr>
        <w:adjustRightInd w:val="0"/>
        <w:snapToGrid w:val="0"/>
        <w:spacing w:line="600" w:lineRule="exact"/>
        <w:ind w:firstLine="2880" w:firstLineChars="1200"/>
        <w:jc w:val="left"/>
        <w:rPr>
          <w:rFonts w:ascii="宋体" w:hAnsi="宋体" w:eastAsia="仿宋" w:cs="仿宋_GB2312"/>
          <w:sz w:val="28"/>
          <w:szCs w:val="28"/>
        </w:rPr>
      </w:pPr>
      <w:r>
        <w:rPr>
          <w:rFonts w:ascii="仿宋" w:hAnsi="仿宋" w:eastAsia="仿宋" w:cs="仿宋"/>
          <w:color w:val="000000"/>
          <w:sz w:val="24"/>
          <w:shd w:val="clear" w:color="auto" w:fill="FFFFFF"/>
        </w:rPr>
        <w:t>基本支出分类汇总表</w:t>
      </w: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 xml:space="preserve">           单位：万元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84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经济分类</w:t>
            </w:r>
          </w:p>
        </w:tc>
        <w:tc>
          <w:tcPr>
            <w:tcW w:w="284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金额</w:t>
            </w:r>
          </w:p>
        </w:tc>
        <w:tc>
          <w:tcPr>
            <w:tcW w:w="284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占比（%）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84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工资福利支出</w:t>
            </w:r>
          </w:p>
        </w:tc>
        <w:tc>
          <w:tcPr>
            <w:tcW w:w="284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华文楷体" w:hAnsi="华文楷体" w:eastAsia="华文楷体" w:cs="华文楷体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2566</w:t>
            </w:r>
          </w:p>
        </w:tc>
        <w:tc>
          <w:tcPr>
            <w:tcW w:w="284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华文楷体" w:hAnsi="华文楷体" w:eastAsia="华文楷体" w:cs="华文楷体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69.35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84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商品和服务支出</w:t>
            </w:r>
          </w:p>
        </w:tc>
        <w:tc>
          <w:tcPr>
            <w:tcW w:w="284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华文楷体" w:hAnsi="华文楷体" w:eastAsia="华文楷体" w:cs="华文楷体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543</w:t>
            </w:r>
          </w:p>
        </w:tc>
        <w:tc>
          <w:tcPr>
            <w:tcW w:w="284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华文楷体" w:hAnsi="华文楷体" w:eastAsia="华文楷体" w:cs="华文楷体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14.67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84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对个人和家庭的其他补助</w:t>
            </w:r>
          </w:p>
        </w:tc>
        <w:tc>
          <w:tcPr>
            <w:tcW w:w="284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华文楷体" w:hAnsi="华文楷体" w:eastAsia="华文楷体" w:cs="华文楷体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576</w:t>
            </w:r>
          </w:p>
        </w:tc>
        <w:tc>
          <w:tcPr>
            <w:tcW w:w="284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华文楷体" w:hAnsi="华文楷体" w:eastAsia="华文楷体" w:cs="华文楷体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15.56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84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其他资本性支出</w:t>
            </w:r>
          </w:p>
        </w:tc>
        <w:tc>
          <w:tcPr>
            <w:tcW w:w="284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华文楷体" w:hAnsi="华文楷体" w:eastAsia="华文楷体" w:cs="华文楷体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14</w:t>
            </w:r>
          </w:p>
        </w:tc>
        <w:tc>
          <w:tcPr>
            <w:tcW w:w="284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华文楷体" w:hAnsi="华文楷体" w:eastAsia="华文楷体" w:cs="华文楷体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84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基本支出总额</w:t>
            </w:r>
          </w:p>
        </w:tc>
        <w:tc>
          <w:tcPr>
            <w:tcW w:w="284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华文楷体" w:hAnsi="华文楷体" w:eastAsia="华文楷体" w:cs="华文楷体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3700</w:t>
            </w:r>
          </w:p>
        </w:tc>
        <w:tc>
          <w:tcPr>
            <w:tcW w:w="284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100</w:t>
            </w:r>
          </w:p>
        </w:tc>
      </w:tr>
    </w:tbl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eastAsia="楷体_GB2312"/>
          <w:bCs/>
          <w:sz w:val="28"/>
          <w:szCs w:val="28"/>
        </w:rPr>
      </w:pPr>
      <w:r>
        <w:rPr>
          <w:rFonts w:hint="eastAsia" w:eastAsia="楷体_GB2312"/>
          <w:bCs/>
          <w:sz w:val="28"/>
          <w:szCs w:val="28"/>
        </w:rPr>
        <w:t>（二）项目支出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环卫所项目、社区经费、综合运转经费（含城管、综治、禁毒、武装、退役军人、统计、文化、计生、食安、安监等）专项经费等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202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</w:t>
      </w:r>
      <w:r>
        <w:rPr>
          <w:rFonts w:hint="eastAsia" w:ascii="宋体" w:hAnsi="宋体" w:cs="仿宋_GB2312"/>
          <w:sz w:val="28"/>
          <w:szCs w:val="28"/>
        </w:rPr>
        <w:t>年街道的项目支出总额为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3498</w:t>
      </w:r>
      <w:r>
        <w:rPr>
          <w:rFonts w:hint="eastAsia" w:ascii="宋体" w:hAnsi="宋体" w:cs="仿宋_GB2312"/>
          <w:sz w:val="28"/>
          <w:szCs w:val="28"/>
        </w:rPr>
        <w:t>万元，占年度总支出的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48.6</w:t>
      </w:r>
      <w:r>
        <w:rPr>
          <w:rFonts w:hint="eastAsia" w:ascii="宋体" w:hAnsi="宋体" w:cs="仿宋_GB2312"/>
          <w:sz w:val="28"/>
          <w:szCs w:val="28"/>
        </w:rPr>
        <w:t>%。其中工资福利支出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1082</w:t>
      </w:r>
      <w:r>
        <w:rPr>
          <w:rFonts w:hint="eastAsia" w:ascii="宋体" w:hAnsi="宋体" w:cs="仿宋_GB2312"/>
          <w:sz w:val="28"/>
          <w:szCs w:val="28"/>
        </w:rPr>
        <w:t>万元，占项目支出的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31</w:t>
      </w:r>
      <w:r>
        <w:rPr>
          <w:rFonts w:hint="eastAsia" w:ascii="宋体" w:hAnsi="宋体" w:cs="仿宋_GB2312"/>
          <w:sz w:val="28"/>
          <w:szCs w:val="28"/>
        </w:rPr>
        <w:t>%，商品和服务支出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2139</w:t>
      </w:r>
      <w:r>
        <w:rPr>
          <w:rFonts w:hint="eastAsia" w:ascii="宋体" w:hAnsi="宋体" w:cs="仿宋_GB2312"/>
          <w:sz w:val="28"/>
          <w:szCs w:val="28"/>
        </w:rPr>
        <w:t>万元，占项目支出的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61</w:t>
      </w:r>
      <w:r>
        <w:rPr>
          <w:rFonts w:hint="eastAsia" w:ascii="宋体" w:hAnsi="宋体" w:cs="仿宋_GB2312"/>
          <w:sz w:val="28"/>
          <w:szCs w:val="28"/>
        </w:rPr>
        <w:t>%，对个人和家庭的其他补助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155</w:t>
      </w:r>
      <w:r>
        <w:rPr>
          <w:rFonts w:hint="eastAsia" w:ascii="宋体" w:hAnsi="宋体" w:cs="仿宋_GB2312"/>
          <w:sz w:val="28"/>
          <w:szCs w:val="28"/>
        </w:rPr>
        <w:t>万元,占项目支出的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4</w:t>
      </w:r>
      <w:r>
        <w:rPr>
          <w:rFonts w:hint="eastAsia" w:ascii="宋体" w:hAnsi="宋体" w:cs="仿宋_GB2312"/>
          <w:sz w:val="28"/>
          <w:szCs w:val="28"/>
        </w:rPr>
        <w:t>.4%，其他资本性支出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98.6</w:t>
      </w:r>
      <w:r>
        <w:rPr>
          <w:rFonts w:hint="eastAsia" w:ascii="宋体" w:hAnsi="宋体" w:cs="仿宋_GB2312"/>
          <w:sz w:val="28"/>
          <w:szCs w:val="28"/>
        </w:rPr>
        <w:t>万元，占项目支出的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3</w:t>
      </w:r>
      <w:r>
        <w:rPr>
          <w:rFonts w:hint="eastAsia" w:ascii="宋体" w:hAnsi="宋体" w:cs="仿宋_GB2312"/>
          <w:sz w:val="28"/>
          <w:szCs w:val="28"/>
        </w:rPr>
        <w:t>%，对企业单位的补贴支出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23</w:t>
      </w:r>
      <w:r>
        <w:rPr>
          <w:rFonts w:hint="eastAsia" w:ascii="宋体" w:hAnsi="宋体" w:cs="仿宋_GB2312"/>
          <w:sz w:val="28"/>
          <w:szCs w:val="28"/>
        </w:rPr>
        <w:t>万元，占项目支出的0.7%。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宋体" w:hAnsi="宋体" w:cs="仿宋_GB2312"/>
          <w:sz w:val="28"/>
          <w:szCs w:val="28"/>
        </w:rPr>
        <w:t>马王堆街道办事处根据国家相关法规的规定，结合单位实际，明确了人员分工及工作职责，建立健全机关管理制度，实行制度管人、管事、管权。进一步完善了财务管理制度，制定了《马王堆街道财务管理办法》</w:t>
      </w:r>
      <w:r>
        <w:rPr>
          <w:rFonts w:hint="eastAsia" w:ascii="宋体" w:hAnsi="宋体" w:cs="仿宋_GB2312"/>
          <w:sz w:val="28"/>
          <w:szCs w:val="28"/>
          <w:lang w:eastAsia="zh-CN"/>
        </w:rPr>
        <w:t>（试行）</w:t>
      </w:r>
      <w:r>
        <w:rPr>
          <w:rFonts w:hint="eastAsia" w:ascii="宋体" w:hAnsi="宋体" w:cs="仿宋_GB2312"/>
          <w:sz w:val="28"/>
          <w:szCs w:val="28"/>
        </w:rPr>
        <w:t>《</w:t>
      </w:r>
      <w:r>
        <w:rPr>
          <w:rFonts w:hint="eastAsia" w:ascii="宋体" w:hAnsi="宋体" w:cs="仿宋_GB2312"/>
          <w:sz w:val="28"/>
          <w:szCs w:val="28"/>
          <w:lang w:eastAsia="zh-CN"/>
        </w:rPr>
        <w:t>马王堆街道政府采购</w:t>
      </w:r>
      <w:r>
        <w:rPr>
          <w:rFonts w:hint="eastAsia" w:ascii="宋体" w:hAnsi="宋体" w:cs="仿宋_GB2312"/>
          <w:sz w:val="28"/>
          <w:szCs w:val="28"/>
        </w:rPr>
        <w:t>制度》</w:t>
      </w:r>
      <w:r>
        <w:rPr>
          <w:rFonts w:hint="eastAsia" w:ascii="宋体" w:hAnsi="宋体" w:cs="仿宋_GB2312"/>
          <w:sz w:val="28"/>
          <w:szCs w:val="28"/>
          <w:lang w:eastAsia="zh-CN"/>
        </w:rPr>
        <w:t>《马王堆街道民主理财制度》</w:t>
      </w:r>
      <w:r>
        <w:rPr>
          <w:rFonts w:hint="eastAsia" w:ascii="宋体" w:hAnsi="宋体" w:cs="仿宋_GB2312"/>
          <w:sz w:val="28"/>
          <w:szCs w:val="28"/>
        </w:rPr>
        <w:t>等规章制度，对资金、物资进行管理和使用；严格按照财经纪律规范和使用财政资金，做到资金的使用均有完整的审批程序，并实行专人管理、转账核算、专款专用原则，使财政收支预算执行取到良好的实施效果。</w:t>
      </w:r>
    </w:p>
    <w:p>
      <w:pPr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三、部门项目组织实施情况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我街道建立健全项目建设工作的领导、组织机构，项目建设工作由党政会议集体研究决定，由分管领导具体负责实施。项目招投标按照招投标管理办法进行公开招投标，实行公开、公平竞争。财政资金管理遵循专用原则，严格按照批准的项目预算执行，并按照合同约定和工程价款结算程序支付工程款。对已具备竣工验收条件的项目，及时组织验收、移交使用，及时编报竣工财务决算。同时加强对项目的监督管理，采取事前、事中、事后相结合，日常监督和专项监督相结合的方式，对项目财务行为实施全过程监督管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四、资产管理情况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1、制度方面:以区政府固定资产管理文件为依托建立健全的资产管理制度，合理配备并节约高效使用资产、提高资产使用效率，保障资产的安全和完整;</w:t>
      </w:r>
      <w:r>
        <w:rPr>
          <w:rFonts w:hint="eastAsia" w:ascii="宋体" w:hAnsi="宋体" w:cs="仿宋_GB2312"/>
          <w:sz w:val="28"/>
          <w:szCs w:val="28"/>
        </w:rPr>
        <w:br w:type="textWrapping"/>
      </w:r>
      <w:r>
        <w:rPr>
          <w:rFonts w:hint="eastAsia" w:ascii="宋体" w:hAnsi="宋体" w:cs="仿宋_GB2312"/>
          <w:sz w:val="28"/>
          <w:szCs w:val="28"/>
        </w:rPr>
        <w:t>  2、资产管理:由财政所进行账务管理</w:t>
      </w:r>
      <w:r>
        <w:rPr>
          <w:rFonts w:hint="eastAsia" w:ascii="宋体" w:hAnsi="宋体" w:cs="仿宋_GB2312"/>
          <w:sz w:val="28"/>
          <w:szCs w:val="28"/>
          <w:lang w:eastAsia="zh-CN"/>
        </w:rPr>
        <w:t>，党政办进行</w:t>
      </w:r>
      <w:r>
        <w:rPr>
          <w:rFonts w:hint="eastAsia" w:ascii="宋体" w:hAnsi="宋体" w:cs="仿宋_GB2312"/>
          <w:sz w:val="28"/>
          <w:szCs w:val="28"/>
        </w:rPr>
        <w:t>资产台账管理，由党政办负责联合各部门和社区按照谁使用、谁负责的原则进行实物管理及使用情况监督;</w:t>
      </w:r>
      <w:r>
        <w:rPr>
          <w:rFonts w:hint="eastAsia" w:ascii="宋体" w:hAnsi="宋体" w:cs="仿宋_GB2312"/>
          <w:sz w:val="28"/>
          <w:szCs w:val="28"/>
        </w:rPr>
        <w:br w:type="textWrapping"/>
      </w:r>
      <w:r>
        <w:rPr>
          <w:rFonts w:hint="eastAsia" w:ascii="宋体" w:hAnsi="宋体" w:cs="仿宋_GB2312"/>
          <w:sz w:val="28"/>
          <w:szCs w:val="28"/>
        </w:rPr>
        <w:t>   3、信息化建设方面:通过“湖南省行政事业资产动态管理信息系统”严格管理资产卡片，及时地记录资产的增加、减少、使用等情况。真实地反映和监督资产的增减变动和实际情况，建立健全资产账簿体系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、政府性基金预算支出情况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default" w:ascii="宋体" w:hAnsi="宋体" w:cs="仿宋_GB2312"/>
          <w:sz w:val="28"/>
          <w:szCs w:val="28"/>
          <w:lang w:val="en-US" w:eastAsia="zh-CN"/>
        </w:rPr>
      </w:pPr>
      <w:r>
        <w:rPr>
          <w:rFonts w:hint="eastAsia" w:ascii="宋体" w:hAnsi="宋体" w:cs="仿宋_GB2312"/>
          <w:sz w:val="28"/>
          <w:szCs w:val="28"/>
          <w:lang w:eastAsia="zh-CN"/>
        </w:rPr>
        <w:t>本年度政府性基金支出为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20万元，主要是用于社会福利发展的彩票公益金支出。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国有资本经营预算支出情况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仿宋_GB2312"/>
          <w:kern w:val="2"/>
          <w:sz w:val="28"/>
          <w:szCs w:val="28"/>
          <w:lang w:val="en-US" w:eastAsia="zh-CN" w:bidi="ar-SA"/>
        </w:rPr>
        <w:t>无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社会保险基金预算支出情况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cs="仿宋_GB2312"/>
          <w:sz w:val="28"/>
          <w:szCs w:val="28"/>
          <w:lang w:val="en-US" w:eastAsia="zh-CN"/>
        </w:rPr>
      </w:pPr>
      <w:r>
        <w:rPr>
          <w:rFonts w:hint="eastAsia" w:ascii="宋体" w:hAnsi="宋体" w:cs="仿宋_GB2312"/>
          <w:sz w:val="28"/>
          <w:szCs w:val="28"/>
          <w:lang w:val="en-US" w:eastAsia="zh-CN"/>
        </w:rPr>
        <w:t>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八</w:t>
      </w:r>
      <w:r>
        <w:rPr>
          <w:rFonts w:hint="eastAsia" w:eastAsia="黑体"/>
          <w:sz w:val="32"/>
          <w:szCs w:val="32"/>
        </w:rPr>
        <w:t>、部门整体支出绩效情况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202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</w:t>
      </w:r>
      <w:r>
        <w:rPr>
          <w:rFonts w:hint="eastAsia" w:ascii="宋体" w:hAnsi="宋体" w:cs="仿宋_GB2312"/>
          <w:sz w:val="28"/>
          <w:szCs w:val="28"/>
        </w:rPr>
        <w:t>年，我街道根据区年初工作规划和重点性工作，围绕两型社会的构建，全面建成小康社会的发展宏图，积极履职，强化管理，较好的完成了年度工作目标。通过加强预算收支管理，不断建立健全的内部管理体制，部门整体支出管理情况得到了提升。部门整体支出绩效评价情况如下：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bCs/>
          <w:sz w:val="28"/>
          <w:szCs w:val="28"/>
        </w:rPr>
      </w:pPr>
      <w:r>
        <w:rPr>
          <w:rFonts w:hint="eastAsia" w:ascii="宋体" w:hAnsi="宋体" w:cs="仿宋_GB2312"/>
          <w:bCs/>
          <w:sz w:val="28"/>
          <w:szCs w:val="28"/>
        </w:rPr>
        <w:t>（一）经济性评价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/>
          <w:sz w:val="28"/>
          <w:szCs w:val="28"/>
        </w:rPr>
        <w:t>20</w:t>
      </w:r>
      <w:r>
        <w:rPr>
          <w:rFonts w:hint="eastAsia" w:ascii="宋体" w:hAnsi="宋体" w:cs="仿宋_GB2312"/>
          <w:sz w:val="28"/>
          <w:szCs w:val="28"/>
        </w:rPr>
        <w:t>2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2年</w:t>
      </w:r>
      <w:r>
        <w:rPr>
          <w:rFonts w:hint="eastAsia" w:ascii="宋体" w:hAnsi="宋体" w:cs="仿宋_GB2312"/>
          <w:sz w:val="28"/>
          <w:szCs w:val="28"/>
        </w:rPr>
        <w:t>我街道严格控制预算支出，不断强化管理，严格执行了预决算公开。本年对社区、村的资金拨付均已及时进行支付或完成预算指标文件的下达，不存在截留或滞留专项资金情况；本年我街道充分节约使用经费，基本支出较好的控制在预算额度内，人员经费严格按标准支出，经费尚有结余。项目经费严格按照要求支付，做到专款专用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bCs/>
          <w:sz w:val="28"/>
          <w:szCs w:val="28"/>
        </w:rPr>
      </w:pPr>
      <w:r>
        <w:rPr>
          <w:rFonts w:hint="eastAsia" w:ascii="宋体" w:hAnsi="宋体" w:cs="仿宋_GB2312"/>
          <w:bCs/>
          <w:sz w:val="28"/>
          <w:szCs w:val="28"/>
        </w:rPr>
        <w:t>（二）行政效能评价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为强化部门整体支出，加强国有资产管理，提高资金使用效益，提升财务管理，建立节约型机关，</w:t>
      </w:r>
      <w:r>
        <w:rPr>
          <w:rFonts w:ascii="宋体" w:hAnsi="宋体" w:cs="仿宋_GB2312"/>
          <w:sz w:val="28"/>
          <w:szCs w:val="28"/>
        </w:rPr>
        <w:t>20</w:t>
      </w:r>
      <w:r>
        <w:rPr>
          <w:rFonts w:hint="eastAsia" w:ascii="宋体" w:hAnsi="宋体" w:cs="仿宋_GB2312"/>
          <w:sz w:val="28"/>
          <w:szCs w:val="28"/>
        </w:rPr>
        <w:t>2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</w:t>
      </w:r>
      <w:r>
        <w:rPr>
          <w:rFonts w:hint="eastAsia" w:ascii="宋体" w:hAnsi="宋体" w:cs="仿宋_GB2312"/>
          <w:sz w:val="28"/>
          <w:szCs w:val="28"/>
        </w:rPr>
        <w:t>年我街道在强化业务管理、财务管理和厉行节约方面开展了大量工作，行政效能显著。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1、严格执行国库集中支付、公务卡结算制度、政府采购等有关规定，政府采购目录内的货物与服务全部按要求实施了政府采购，确保了支出管理流程、审批手续的完整。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b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2、强化资金使用的监督管理及预算管理。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一、是规范安全生产培训、宣传、专家咨询活动，严格办公用房管理等，控制办公经费开支；二、是严格财务管理，严格财务的审核把关，对各科室实行经费支出限额管理，严控经费支出，落实项目资金专款专用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bCs/>
          <w:sz w:val="28"/>
          <w:szCs w:val="28"/>
        </w:rPr>
      </w:pPr>
      <w:r>
        <w:rPr>
          <w:rFonts w:hint="eastAsia" w:ascii="宋体" w:hAnsi="宋体" w:cs="仿宋_GB2312"/>
          <w:bCs/>
          <w:sz w:val="28"/>
          <w:szCs w:val="28"/>
        </w:rPr>
        <w:t>（三）项目产出及社会效益评价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（一）不断夯实党建工作基础。充分发挥街道党工委领头雁作用，强党建、正风气、严治理。一是加强党政班子建设和党员干部管理，营造政令畅通、风清气正的工作氛围。二是抓好社区党支部“五化”建设，全街已建立小区党支部31个、非公支部13个。三是加大风险隐患排查及网络舆情监管力度，妥善处置网络舆情65起。四是注重正面发声，市级以上媒体上稿650余篇，推评全国岗位学雷锋标兵1人。五是抓好党风廉政建设和作风建设，积极打造清廉单元共建共创共享，处置信访案件16起，立案查处党员违纪案件2起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（二）努力推动经济稳定运行。加大招商引资工作力度，积极配合上级与开发商，成功引进“同城艺龙”购买园康置业公司开发的“园康云顶苑”独栋写字楼。各项经济指标增长平稳。完成固定资产投资220387万元，固定资产投资新增入库62498万元，批发额120647万元，零售额20996万元，建筑业总产值76535万元，四上单位新增11家，新增规上文化企业1家，高新单位认定15家，技术贸易合同额认定3个，审核中4个。目前，已完成全口径税收24702万元；软件信息产业营业收入上报完成总量6698万元，同比增长0.05%，预计全年可完成7500万元。在全国第七次人口普查工作中，马王堆街道荣获“市级先进集体”称号，且按照上级要求正在打造省级第一批“四星级”统计站规范化建设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（三）凝心聚力百日攻坚。按照隐患清仓见底、先排危后排违的工作思路，街道扎实开展违章建筑和自建房专项整治工作。违章建筑专项整治行动已处理违章建筑29起3356.06平方，拆除存在安全隐患招牌150余处，拆除废弃烟囱12个，整治小区楼顶“圈地占用”约1380平方，整治违规种菜约21亩。自建房专项整治行动已完成自建房屋安全隐患排查1780栋（一户一栋，栋数按单元计），排查住房违章加层84处，违规开挖地下空间2处，排查自建房安全隐患570处，其中一般隐患411处（均已整改）、较大隐患157处（均已整改）、严重隐患2处（已整改1处，整改中1处），排查格子房47处。拆除违规自建房及其他违章28处4560.06㎡，已委托第三方机构开展房屋结构检测95户（20自然栋），出具中间报告95份，其中95处均已鉴定为B级，且1780栋自建房已全部完成APP录入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（四）持续深化疫情防控成效。不断完善疫情防控工作长效体系，精准落实常态化防控要求，累计完成重点人员信息核查72200条，接种疫苗171175人次，全程接种68911人，全员核酸检测2009331人次，审核通过场所码3818条，数据核查日清日结，人员排查管控到位，常态化疫情防控措施落地见效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（五）稳步推进项目建设。一是60号令生产安置用地项目。火炬村1、2片生产安置用地集体变国有土地手续已办妥，与北京华伟投资管理有限公司签订初步合作意向合同；九道湾12、14、15、16四个居民小组生产安置用地与开发商联合开发，正在办理两安用地调规调容手续；九道湾19-22组生产安置用地项目已竣工验收，村民已回迁分房；九道湾18组生产安置用地与开发商联合开发，1、2栋主体封顶，预计2023年上半年竣工验收；九道湾17组生产安置用地“星城美域”项目已确定最终债权人，力争尽快协调解决债务纠纷问题并启动项目建设。二是103号令安置房项目。一期、二期9栋高层住宅楼，三期地块四、五标段1、2号栋高层住宅楼均已竣工验收，村民已回迁分房，另三栋主体封顶，预计今年年底能竣工验收。三是社会类投资项目。富力圆康新天地项目于今年下半年顺利复工复产；保利中环广场项目正在进行小区绿化基础设施建设，街域内的项目建设呈现良好发展态势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（六）着力稳固社会大局。一是加大信访积案化解和矛盾纠纷调处力度。深入推进多元化化解纠纷机制建设，调解矛盾纠纷244起，火炬103号令司法强拆户已签约45栋80户，娄月红、梁清莲、徐应兰、李铁双等国家局、省市交办的28名重点人员均已签订《拆迁补偿协议》及《息访息诉协议》。二是深化平安街道建设开展专项行动。大力开展“利剑护蕾”、夏季治安打击整治“百日行动”，扎实推进防范电信网络诈骗和打击整治养老诈骗宣传工作，积极推广“国家反诈中心”APP，学习宣传《反有组织犯罪法》《反间谍法》，举办各类大小宣传活动78场。三是深入开展安全生产隐患排查治理行动。街道对辖区内企业商户742家进行了全面排查整治，发现并消除各类安全隐患370余处，关停取缔门店51家。聘请第三方消防机构集中对辖区21栋重点高层建筑开展消防隐患排查，发现隐患288条，正在进行逐条销号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（七）不断增进民生福祉。始终坚持以人民为中心，积极解难帮困，服务为民。一是落实民生保障举措。加强对辖区残疾、特困、高龄老人等人群的走访帮扶力度，累计发放救助和帮扶资金219余万元，惠及居民群众601户、5300余人次；帮扶困难退役军人10批52人次，帮扶经费10万余元，组织优抚对象免费疗养2批6人次，建档立卡1900余人。二是发挥社区特色品牌服务效能。丰富“邻有爱”家庭互助社会工作服务项目、“5180”法务工作站、“何立伟工作室”“绿色滩头坪、两型幸福家”、“最美九道湾、律政大芙蓉”等社区品牌内涵，持续提升为民服务水平，切实提高人民群众的幸福感和获得感。三是积极回应民生诉求。今年街道共接收12345政务热线工单2017件，已办结1980件，满意率96.8%；“掌上网格”正进行第二阶段试点，现已开放疫情报备、办事预约、投诉建议、门店管理等功能，今年以来收到居民预约170余人次，处理居民投诉建议10余条。四是着力提升城市品质。加大日常管控和执法力度，认真抓好环保、蓝天保卫战、垃圾分类、市容环境秩序整治、浏阳河管护段常态化保洁等各类工作，开展各类宣传活动60余次，组织各类专项整治行动80余次，完成市、区蓝天办交办问题16处，完成整改芙蓉区交付的燃气安全隐患问题374起，处理市、区数字化平台案卷约6280件，积极创造了居民优良的人居环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九</w:t>
      </w:r>
      <w:r>
        <w:rPr>
          <w:rFonts w:hint="eastAsia" w:eastAsia="黑体"/>
          <w:sz w:val="32"/>
          <w:szCs w:val="32"/>
        </w:rPr>
        <w:t>、存在的问题</w:t>
      </w:r>
      <w:r>
        <w:rPr>
          <w:rFonts w:hint="eastAsia" w:eastAsia="黑体"/>
          <w:sz w:val="32"/>
          <w:szCs w:val="32"/>
          <w:lang w:eastAsia="zh-CN"/>
        </w:rPr>
        <w:t>及原因分析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1、绩效评价工作机制有待进一步完善，由于在平时工作中未加强对绩效监控工作的重视，绩效监控工作容易滞后，未形成对绩效目标进行监控的习惯。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2、预算编制工作有待细化。预算编制不够明确和细化，预算编制的合理性需要提高。预算执行力度还要进一步加强。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default" w:ascii="宋体" w:hAnsi="宋体" w:cs="仿宋_GB2312"/>
          <w:sz w:val="28"/>
          <w:szCs w:val="28"/>
          <w:lang w:val="en-US" w:eastAsia="zh-CN"/>
        </w:rPr>
      </w:pPr>
      <w:r>
        <w:rPr>
          <w:rFonts w:hint="eastAsia" w:ascii="宋体" w:hAnsi="宋体" w:cs="仿宋_GB2312"/>
          <w:sz w:val="28"/>
          <w:szCs w:val="28"/>
          <w:lang w:val="en-US" w:eastAsia="zh-CN"/>
        </w:rPr>
        <w:t>3、基层财务基础薄弱，上级主管部门需加强对基层业务的培训，提高整体财务水平。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十</w:t>
      </w:r>
      <w:r>
        <w:rPr>
          <w:rFonts w:hint="eastAsia"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  <w:lang w:eastAsia="zh-CN"/>
        </w:rPr>
        <w:t>下一步</w:t>
      </w:r>
      <w:r>
        <w:rPr>
          <w:rFonts w:hint="eastAsia" w:eastAsia="黑体"/>
          <w:sz w:val="32"/>
          <w:szCs w:val="32"/>
        </w:rPr>
        <w:t>改进措施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1、制定合理的年度工作计划和年度经费支出预算，确保全年经费支出均衡。</w:t>
      </w:r>
    </w:p>
    <w:p>
      <w:pPr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2、建立和完善内部控制建设，形成系统的内部财务管理制度。加强对专项资金的管理，按工作要求加快专项资金下达及使用进度，切实发挥资金效益。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3、在以后的日常预算管理过程中，进一步加强对资金的管控能力，加强预算资金的审核及预算执行情况的分析等。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十一</w:t>
      </w:r>
      <w:r>
        <w:rPr>
          <w:rFonts w:hint="default" w:ascii="Times New Roman" w:hAnsi="Times New Roman" w:eastAsia="黑体" w:cs="Times New Roman"/>
          <w:sz w:val="32"/>
          <w:szCs w:val="32"/>
        </w:rPr>
        <w:t>、绩效自评结果拟应用和公开情况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wordWrap w:val="0"/>
        <w:adjustRightInd w:val="0"/>
        <w:snapToGrid w:val="0"/>
        <w:spacing w:line="560" w:lineRule="exact"/>
        <w:ind w:firstLine="640" w:firstLineChars="200"/>
        <w:jc w:val="left"/>
        <w:rPr>
          <w:rFonts w:eastAsia="黑体" w:cs="宋体"/>
          <w:kern w:val="0"/>
          <w:sz w:val="32"/>
          <w:szCs w:val="32"/>
        </w:rPr>
      </w:pPr>
      <w:r>
        <w:rPr>
          <w:rFonts w:hint="eastAsia" w:eastAsia="黑体" w:cs="宋体"/>
          <w:kern w:val="0"/>
          <w:sz w:val="32"/>
          <w:szCs w:val="32"/>
        </w:rPr>
        <w:t xml:space="preserve">                   </w:t>
      </w:r>
      <w:r>
        <w:rPr>
          <w:rFonts w:hint="eastAsia" w:eastAsia="黑体" w:cs="宋体"/>
          <w:kern w:val="0"/>
          <w:sz w:val="32"/>
          <w:szCs w:val="32"/>
          <w:lang w:eastAsia="zh-CN"/>
        </w:rPr>
        <w:t>长沙市芙蓉区</w:t>
      </w:r>
      <w:r>
        <w:rPr>
          <w:rFonts w:hint="eastAsia" w:eastAsia="黑体" w:cs="宋体"/>
          <w:kern w:val="0"/>
          <w:sz w:val="32"/>
          <w:szCs w:val="32"/>
        </w:rPr>
        <w:t>马王堆街道办事处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default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eastAsia="黑体" w:cs="宋体"/>
          <w:kern w:val="0"/>
          <w:sz w:val="32"/>
          <w:szCs w:val="32"/>
        </w:rPr>
        <w:t xml:space="preserve">                          </w:t>
      </w:r>
      <w:r>
        <w:rPr>
          <w:rFonts w:hint="eastAsia" w:eastAsia="黑体" w:cs="宋体"/>
          <w:kern w:val="0"/>
          <w:sz w:val="32"/>
          <w:szCs w:val="32"/>
          <w:lang w:val="en-US" w:eastAsia="zh-CN"/>
        </w:rPr>
        <w:t>2023年6月27日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A4B70B"/>
    <w:multiLevelType w:val="singleLevel"/>
    <w:tmpl w:val="62A4B70B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B33F529"/>
    <w:multiLevelType w:val="singleLevel"/>
    <w:tmpl w:val="7B33F5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NjFmNjkzYTIyODE3MmZmNWE1MjgwNDQ4YjIwY2UifQ=="/>
  </w:docVars>
  <w:rsids>
    <w:rsidRoot w:val="117A7319"/>
    <w:rsid w:val="002464F6"/>
    <w:rsid w:val="00346A4D"/>
    <w:rsid w:val="003919C9"/>
    <w:rsid w:val="004A6630"/>
    <w:rsid w:val="0061763C"/>
    <w:rsid w:val="0071419B"/>
    <w:rsid w:val="00971B54"/>
    <w:rsid w:val="03114652"/>
    <w:rsid w:val="117A7319"/>
    <w:rsid w:val="11C6799D"/>
    <w:rsid w:val="17457E73"/>
    <w:rsid w:val="193E1883"/>
    <w:rsid w:val="1AAD07E1"/>
    <w:rsid w:val="27927709"/>
    <w:rsid w:val="2A4F1176"/>
    <w:rsid w:val="2BC76ED5"/>
    <w:rsid w:val="2D837C31"/>
    <w:rsid w:val="35B003AA"/>
    <w:rsid w:val="3C8D1049"/>
    <w:rsid w:val="3DB72FC9"/>
    <w:rsid w:val="451F3BB2"/>
    <w:rsid w:val="45A8125A"/>
    <w:rsid w:val="49DB68BC"/>
    <w:rsid w:val="4B9437A1"/>
    <w:rsid w:val="4CA405BE"/>
    <w:rsid w:val="50F80A08"/>
    <w:rsid w:val="54CF07A0"/>
    <w:rsid w:val="56D00F69"/>
    <w:rsid w:val="58337A15"/>
    <w:rsid w:val="5B0C7DAC"/>
    <w:rsid w:val="5B435A44"/>
    <w:rsid w:val="5BCD3065"/>
    <w:rsid w:val="6C26329E"/>
    <w:rsid w:val="741A28AB"/>
    <w:rsid w:val="75E55965"/>
    <w:rsid w:val="78B676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00" w:lineRule="exact"/>
      <w:ind w:firstLine="840" w:firstLineChars="400"/>
    </w:pPr>
    <w:rPr>
      <w:rFonts w:ascii="宋体" w:hAnsi="宋体"/>
    </w:rPr>
  </w:style>
  <w:style w:type="paragraph" w:styleId="4">
    <w:name w:val="Body Text Indent"/>
    <w:basedOn w:val="1"/>
    <w:link w:val="12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link w:val="13"/>
    <w:qFormat/>
    <w:uiPriority w:val="0"/>
    <w:pPr>
      <w:spacing w:after="0" w:line="500" w:lineRule="exact"/>
      <w:ind w:left="0" w:leftChars="0" w:firstLine="420" w:firstLineChars="200"/>
    </w:pPr>
    <w:rPr>
      <w:rFonts w:ascii="仿宋_GB2312" w:hAnsi="Times New Roman" w:eastAsia="仿宋_GB2312"/>
      <w:sz w:val="32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2">
    <w:name w:val="正文文本缩进 Char"/>
    <w:basedOn w:val="10"/>
    <w:link w:val="4"/>
    <w:qFormat/>
    <w:uiPriority w:val="0"/>
    <w:rPr>
      <w:kern w:val="2"/>
      <w:sz w:val="21"/>
      <w:szCs w:val="24"/>
    </w:rPr>
  </w:style>
  <w:style w:type="character" w:customStyle="1" w:styleId="13">
    <w:name w:val="正文首行缩进 2 Char"/>
    <w:basedOn w:val="12"/>
    <w:link w:val="7"/>
    <w:qFormat/>
    <w:uiPriority w:val="0"/>
    <w:rPr>
      <w:rFonts w:ascii="仿宋_GB2312" w:hAnsi="Times New Roman" w:eastAsia="仿宋_GB2312"/>
      <w:sz w:val="32"/>
    </w:rPr>
  </w:style>
  <w:style w:type="paragraph" w:styleId="1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ED07-8A73-4A82-ACA0-62CC05453F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6028</Words>
  <Characters>6397</Characters>
  <Lines>46</Lines>
  <Paragraphs>13</Paragraphs>
  <TotalTime>4</TotalTime>
  <ScaleCrop>false</ScaleCrop>
  <LinksUpToDate>false</LinksUpToDate>
  <CharactersWithSpaces>6464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2022-09-26T07:00:00Z</dcterms:created>
  <dc:creator>Administrator</dc:creator>
  <cp:lastModifiedBy>朱琳</cp:lastModifiedBy>
  <dcterms:modified xsi:type="dcterms:W3CDTF">2023-11-02T02:50:14Z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A25249E011DD4BE9B9A7FC28A6F9DE03</vt:lpwstr>
  </property>
</Properties>
</file>