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ascii="Times New Roman" w:hAnsi="Times New Roman" w:cs="Times New Roman"/>
          <w:sz w:val="44"/>
          <w:szCs w:val="44"/>
        </w:rPr>
        <w:t>1</w:t>
      </w:r>
      <w:r>
        <w:rPr>
          <w:rFonts w:hint="eastAsia" w:ascii="宋体" w:hAnsi="宋体" w:eastAsia="宋体"/>
          <w:sz w:val="44"/>
          <w:szCs w:val="44"/>
        </w:rPr>
        <w:t>年度芙蓉区人社局</w:t>
      </w:r>
    </w:p>
    <w:p>
      <w:pPr>
        <w:pStyle w:val="10"/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部门整体支出绩效评价报告</w:t>
      </w:r>
    </w:p>
    <w:p>
      <w:pPr>
        <w:spacing w:line="572" w:lineRule="exact"/>
        <w:ind w:firstLine="640" w:firstLineChars="200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 xml:space="preserve"> 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一、部门概况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（一）部门基本情况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1、贯彻执行国家、省、市人力资源和社会保障方针政策和法律法规，拟定全区人力资源和社会保障事业发展规划。对全区人力资源和社会保障工作进行综合管理、监督指导、协调服务。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2、拟订并组织实施全区人力资源市场发展规划，建立和完善统一、规范的人力资源市场，并负责监督，促进人力资源合理流动、有效配置。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3、负责促进全区就业工作，拟订统筹城乡的就业发展规划并组织实施；完善公共就业服务体系，组织落实就业援助制度、职业资格制度；统筹建立面向城乡劳动者的职业培训制度，贯彻落实高校毕业生就业政策，会同有关部门拟订高技能人才、农村实用人才培养和激励政策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4、统筹建立覆盖城乡的社会保障体系。落实社会保险政策，完善基金内控制度，负责全区社会保险基金预测预警，编制全区社会保险基金预决算草案，保持社会保险基金总体收支平衡。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5、负责全区就业、失业预测预警和信息引导，拟订应对预案，实施预防、调节和控制，保持就业形势稳定。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6、贯彻国家、省机关事业单位人员工资收入分配政策，会同有关部门拟订全区机关、事业单位人员工资收入分配政策并组织实施，拟订机关事业单位人员福利政策并组织实施；负责审批全区党政机关、事业单位及人员的工资、奖金、津补贴标准和离退（职）休费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7、会同有关部门指导全区事业单位人事制度改革，按照惯例权限拟订机关事业单位各类人员管理政策，参与人才管理工作，负责全区专业技术人员管理和继续教育工作。牵头推进深化职称制度改革，综合管理人才开发工作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8、统筹实施劳动人事争议调解仲裁制度和劳动关系政策，完善劳动关系协调机制，监督落实消除非法使用童工政策和女工、未成年工得到特殊劳动保障制度，组织实施劳动监察，协调劳动者维权工作。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9、承办区委、区人民政府及上级主管部门交办的其他事项。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（二）年度预算及使用情况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2021年预算批复14414.72万元，实际支出16755.62万元，其中基本支出：1675.7万元，项目支出：15097.92万元，上年度结余255.08万元，本年结余0万元。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二、部门整体收入及使用情况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（一）基本支出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基本支出：2021年基本支出数为1675.7万元，是指为保障单位机构运转、完成日常工作任务而发生的各项支出，包括基本工资、津贴补贴等人员经费以及办公费、印刷费、水电费、办公设备购置费等日常公用经费。2021年“三公”经费预算总额0万元，其中：公务接待费0万元、因公出国（境）费0万元和公务用车购置及运行费0万元（公务用车购置0万元和公务用车运行费0万元）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（二）专项支出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项目支出：2021年项目支出数为15079.92万元，是指单位为完成特定行政工作任务或事业发展目标而发生的支出。其中：考核工作及人才招聘经费支出80.78万元，劳动仲裁办案经费51.99万元，就业扶贫工作经费3.38万元，用于精准扶贫、就业帮扶。农民工工资工作经费1.32万元，机关事业单位养老保险基金的缺口13302.16万元，用于落实《长沙市芙蓉区机关事业单位工作人员养老保险制度改革实施方案》，实行退休人员养老金社会化发放基金缺口补助需要。城乡居民基本养老保险区级财政补贴及城乡居民养老保险丧葬费711万元，用于区级财政对城乡居民基本养老金60岁以上享受待遇人员基础养老金及60岁以下参保人员的缴费补贴。民办老师困难补助和乡村医生困难补助3.5万元，根据长政办函【2014】172号和长政办函【2014】173号文件精神落实区级配套资金。创业担保贷款区本级配套贴息资金57.05万元，是根据湘财金【2016】39号文件第一条规定，发放个人及联合微利项目小额担保贷款，由中央财政承担75％，审批发放贷款管理机构所在地的同级财政承担25％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三、部门项目组织实施情况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四、部门整体支出绩效情况</w:t>
      </w:r>
    </w:p>
    <w:p>
      <w:pPr>
        <w:ind w:firstLine="420" w:firstLineChars="200"/>
        <w:rPr>
          <w:rFonts w:ascii="仿宋_GB2312" w:hAnsi="仿宋_GB2312"/>
          <w:sz w:val="32"/>
          <w:szCs w:val="32"/>
        </w:rPr>
      </w:pPr>
      <w:r>
        <w:t>就业方面，</w:t>
      </w:r>
      <w:r>
        <w:rPr>
          <w:rFonts w:ascii="仿宋_GB2312" w:hAnsi="仿宋_GB2312"/>
          <w:sz w:val="32"/>
          <w:szCs w:val="32"/>
        </w:rPr>
        <w:t>截至2021年12月底，实现全区城镇新增就业1.49万人，完成年度目标的109％。失业人员再就业10595人，完成目标任务的145.14％，就业困难对象实现就业4417人，完成目标任务的122.69％。城镇登记失业率控制在3％以内。</w:t>
      </w:r>
    </w:p>
    <w:p>
      <w:pPr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社保方面，截至12月底，全区企业养老保险征缴收入20.51亿元，完成年度任务21.93亿元的93.5%；企业养老保险参保缴费率目标任务50.62%，实际完成57.24%；缴费率目标任务90%，实际完成91.82%。全区城乡居民养老保险参保缴费人员13227人，达到了全年目标任务1.3万人的102%。城乡居民养老保险实现全覆盖。</w:t>
      </w:r>
    </w:p>
    <w:p>
      <w:pPr>
        <w:pStyle w:val="4"/>
        <w:autoSpaceDE w:val="0"/>
        <w:spacing w:after="0" w:line="560" w:lineRule="exact"/>
        <w:ind w:left="0" w:leftChars="0" w:firstLine="640"/>
        <w:rPr>
          <w:rFonts w:ascii="仿宋_GB2312" w:hAnsi="仿宋_GB2312" w:eastAsiaTheme="minorEastAsia" w:cstheme="minorBidi"/>
          <w:sz w:val="32"/>
          <w:szCs w:val="32"/>
        </w:rPr>
      </w:pPr>
      <w:r>
        <w:rPr>
          <w:rFonts w:ascii="仿宋_GB2312" w:hAnsi="仿宋_GB2312" w:eastAsiaTheme="minorEastAsia" w:cstheme="minorBidi"/>
          <w:sz w:val="32"/>
          <w:szCs w:val="32"/>
        </w:rPr>
        <w:t>重点民生实事方面，2021年，我区共承接省、市重点民生实事项目26个。任务下达以来，全区上下同心协力，精心铺排选址，层层压实责任，全力调度推进，有力保障各项民生实事进展，圆满完成年度目标任务，其中11个指标超额完成年度目标任务，老百姓的幸福感、获得感得到显著提升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五、重点工作开展情况</w:t>
      </w:r>
    </w:p>
    <w:p>
      <w:pPr>
        <w:spacing w:line="56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深入推进全民创业和充分就业，着力夯实民生之本。一是要抓劳动力动态监测，在“活”在上下功夫。通过重点企业联系服务制度和人力资源市场动态监测，全面了解企业用工状况，建立完善的招聘信息台账，对就业信息进行及时的调查统计分析，运用底线思维提前做出风险预警。二是要抓重点群体就业工作，在“细”字上下功夫。</w:t>
      </w:r>
      <w:r>
        <w:rPr>
          <w:rFonts w:hint="eastAsia" w:ascii="仿宋_GB2312" w:hAnsi="仿宋_GB2312"/>
          <w:sz w:val="32"/>
          <w:szCs w:val="32"/>
        </w:rPr>
        <w:t>全面加强区、街道和社区三级公共服务能力建设，把服务做精做细。有针对性地做好全区登记失业人员、就业困难对象、离校未就业高校毕业生等重点群体的就业创业服务，</w:t>
      </w:r>
      <w:r>
        <w:rPr>
          <w:rFonts w:ascii="仿宋_GB2312" w:hAnsi="仿宋_GB2312"/>
          <w:sz w:val="32"/>
          <w:szCs w:val="32"/>
        </w:rPr>
        <w:t>保持零就业家庭动态清零。三是要抓培训，在“实”字上下功夫。开展覆盖各类群体的就业技能培训、企业职工岗位技能提升培训、创业培训，</w:t>
      </w:r>
      <w:r>
        <w:rPr>
          <w:rFonts w:hint="eastAsia" w:ascii="仿宋_GB2312" w:hAnsi="仿宋_GB2312"/>
          <w:sz w:val="32"/>
          <w:szCs w:val="32"/>
        </w:rPr>
        <w:t>优化培训内容，提高培训质量</w:t>
      </w:r>
      <w:r>
        <w:rPr>
          <w:rFonts w:ascii="仿宋_GB2312" w:hAnsi="仿宋_GB2312"/>
          <w:sz w:val="32"/>
          <w:szCs w:val="32"/>
        </w:rPr>
        <w:t>。不断提高劳动者职业技能水平，</w:t>
      </w:r>
      <w:r>
        <w:rPr>
          <w:rFonts w:hint="eastAsia" w:ascii="仿宋_GB2312" w:hAnsi="仿宋_GB2312"/>
          <w:sz w:val="32"/>
          <w:szCs w:val="32"/>
        </w:rPr>
        <w:t>支持企业以训稳岗，</w:t>
      </w:r>
      <w:r>
        <w:rPr>
          <w:rFonts w:ascii="仿宋_GB2312" w:hAnsi="仿宋_GB2312"/>
          <w:sz w:val="32"/>
          <w:szCs w:val="32"/>
        </w:rPr>
        <w:t>有效缓解就业结构性矛盾。</w:t>
      </w:r>
    </w:p>
    <w:p>
      <w:pPr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.不断健全社会保障体系，促进社会公平和谐。一是加大扩面征缴力度。持续推动社会保险扩面和参保人员缴费工作，促进中小微企业从业人员、新业态就业人员、农民工等群体参加城镇职工基本养老保险。二是实现社保服务“就近办”。将参保、缴费、查询等日常业务延伸至网点和街道、社区办理，方便群众就近办。实现社保服务“线上办”，引导群众利用微信、手机APP等现代信息技术自助办理参保、缴费、查询等社保业务，实现“足不出户”办理。三是积极开展养老保险风险防控工作，实现内控检查的常态化和常态化，对风险岗位人员出台具体工作要求，对关键业务环节全程监控，按照省要求制定死亡人员信息申报管理办法等，进一步扎牢织密制度笼子，保证基金的安全。</w:t>
      </w:r>
    </w:p>
    <w:p>
      <w:pPr>
        <w:autoSpaceDE w:val="0"/>
        <w:spacing w:line="560" w:lineRule="exact"/>
        <w:ind w:firstLine="643"/>
        <w:rPr>
          <w:rFonts w:ascii="Times New Roman" w:hAnsi="Times New Roman"/>
          <w:szCs w:val="21"/>
        </w:rPr>
      </w:pPr>
      <w:r>
        <w:rPr>
          <w:rFonts w:hint="eastAsia" w:ascii="楷体" w:hAnsi="楷体" w:eastAsia="楷体"/>
          <w:b/>
          <w:bCs/>
          <w:sz w:val="32"/>
          <w:szCs w:val="32"/>
          <w:shd w:val="clear" w:color="auto" w:fill="FFFFFF"/>
        </w:rPr>
        <w:t>3.</w:t>
      </w:r>
      <w:r>
        <w:rPr>
          <w:rFonts w:ascii="仿宋_GB2312" w:hAnsi="仿宋_GB2312"/>
          <w:b/>
          <w:bCs/>
          <w:sz w:val="32"/>
          <w:szCs w:val="32"/>
          <w:shd w:val="clear" w:color="auto" w:fill="FFFFFF"/>
        </w:rPr>
        <w:t>持续提升人事人才服务效率，积极推进人才强区战略。</w:t>
      </w:r>
      <w:r>
        <w:rPr>
          <w:rFonts w:ascii="仿宋_GB2312" w:hAnsi="仿宋_GB2312"/>
          <w:b/>
          <w:bCs/>
          <w:sz w:val="32"/>
          <w:szCs w:val="32"/>
        </w:rPr>
        <w:t>一是加强人才队伍建设。</w:t>
      </w:r>
      <w:r>
        <w:rPr>
          <w:rFonts w:ascii="仿宋_GB2312" w:hAnsi="仿宋_GB2312"/>
          <w:sz w:val="32"/>
          <w:szCs w:val="32"/>
        </w:rPr>
        <w:t>始终坚持“公开、平等、竞争、择优”原则，根据上级部门统一部署和我区各单位实际需求情况，组织、配合做好各级各类人才引进工作，为我区经济建设和社会发展及时补充人员。继续高效落实长沙市“人才新政</w:t>
      </w:r>
      <w:r>
        <w:rPr>
          <w:rFonts w:ascii="Times New Roman" w:hAnsi="Times New Roman"/>
          <w:sz w:val="32"/>
          <w:szCs w:val="32"/>
        </w:rPr>
        <w:t>22</w:t>
      </w:r>
      <w:r>
        <w:rPr>
          <w:rFonts w:ascii="仿宋_GB2312" w:hAnsi="仿宋_GB2312"/>
          <w:sz w:val="32"/>
          <w:szCs w:val="32"/>
        </w:rPr>
        <w:t>条”，不断加强人才服务窗口建设，全力打造顺心、知心、放心、安心的“四心”窗口，确保各项补贴及时准确发放到位。二</w:t>
      </w:r>
      <w:r>
        <w:rPr>
          <w:rFonts w:ascii="仿宋_GB2312" w:hAnsi="仿宋_GB2312"/>
          <w:b/>
          <w:bCs/>
          <w:sz w:val="32"/>
          <w:szCs w:val="32"/>
        </w:rPr>
        <w:t>是抓好日常管理工作。</w:t>
      </w:r>
      <w:r>
        <w:rPr>
          <w:rFonts w:ascii="仿宋_GB2312" w:hAnsi="仿宋_GB2312"/>
          <w:sz w:val="32"/>
          <w:szCs w:val="32"/>
        </w:rPr>
        <w:t>做好事业单位合同制聘用人员管理工作，不断提高合同签订比率，实现事业单位人员信息化管理；严格按照相关政策及文件，不断规范工资福利管理，落实各项调整、审批、统计工作；优化人事公共服务，做好人事调配、职称职改、档案管理工作。</w:t>
      </w:r>
    </w:p>
    <w:p>
      <w:pPr>
        <w:autoSpaceDE w:val="0"/>
        <w:snapToGrid w:val="0"/>
        <w:spacing w:line="560" w:lineRule="exact"/>
        <w:ind w:firstLine="643" w:firstLineChars="200"/>
        <w:rPr>
          <w:rFonts w:ascii="仿宋_GB2312" w:hAnsi="Verdana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  <w:shd w:val="clear" w:color="auto" w:fill="FFFFFF"/>
        </w:rPr>
        <w:tab/>
      </w:r>
      <w:r>
        <w:rPr>
          <w:rFonts w:ascii="仿宋_GB2312" w:hAnsi="仿宋_GB2312"/>
          <w:b/>
          <w:bCs/>
          <w:sz w:val="32"/>
          <w:szCs w:val="32"/>
          <w:shd w:val="clear" w:color="auto" w:fill="FFFFFF"/>
        </w:rPr>
        <w:t>4.加强劳动执法监察力度，确保劳动关系和谐稳定。一是</w:t>
      </w:r>
      <w:r>
        <w:rPr>
          <w:rFonts w:ascii="仿宋_GB2312" w:hAnsi="仿宋_GB2312"/>
          <w:b/>
          <w:bCs/>
          <w:sz w:val="32"/>
          <w:szCs w:val="32"/>
        </w:rPr>
        <w:t>依法受理举报投诉，加大对投诉案件的处理。</w:t>
      </w:r>
      <w:r>
        <w:rPr>
          <w:rFonts w:ascii="仿宋_GB2312" w:hAnsi="仿宋_GB2312"/>
          <w:sz w:val="32"/>
          <w:szCs w:val="32"/>
        </w:rPr>
        <w:t>对于来信、来访、来电、全国欠薪线索平台、12345工单、舆情等各种劳资纠纷案件的投诉，做到仔细询问，详细了解，热情接待，及时处理，严格落实，整理备档。建立健全“一站式”多元解纷机制，联动解决矛盾纠纷，打造高效、便捷的智能诉讼服务模式。二是</w:t>
      </w:r>
      <w:r>
        <w:rPr>
          <w:rFonts w:ascii="仿宋_GB2312" w:hAnsi="仿宋_GB2312"/>
          <w:b/>
          <w:bCs/>
          <w:sz w:val="32"/>
          <w:szCs w:val="32"/>
        </w:rPr>
        <w:t>开展专项执法检查，巩固扩大维权成果。</w:t>
      </w:r>
      <w:r>
        <w:rPr>
          <w:rFonts w:ascii="仿宋_GB2312" w:hAnsi="仿宋_GB2312"/>
          <w:sz w:val="32"/>
          <w:szCs w:val="32"/>
        </w:rPr>
        <w:t>加强对我区范围内的用人单位在遵守劳动用工和社会保险、女职工和未成年工权益保护、最低工资标准、清理整顿人力资源市场秩序等劳动保障法律法规的监察力度，特别是对建设领域在建项目农民工工资工资支付情况、治欠长效机制落实情况的检查。三是</w:t>
      </w:r>
      <w:r>
        <w:rPr>
          <w:rFonts w:ascii="仿宋_GB2312" w:hAnsi="仿宋_GB2312"/>
          <w:b/>
          <w:bCs/>
          <w:sz w:val="32"/>
          <w:szCs w:val="32"/>
        </w:rPr>
        <w:t>加强普法宣传，强化守法意识，营造良好执法环境。</w:t>
      </w:r>
      <w:r>
        <w:rPr>
          <w:rFonts w:ascii="仿宋_GB2312" w:hAnsi="仿宋_GB2312"/>
          <w:sz w:val="32"/>
          <w:szCs w:val="32"/>
        </w:rPr>
        <w:t>提高劳动者维护自身合法权益的能力，促使用人单位自觉遵守法律、法规，按时足额支付工资。四是</w:t>
      </w:r>
      <w:r>
        <w:rPr>
          <w:rFonts w:ascii="仿宋_GB2312" w:hAnsi="仿宋_GB2312"/>
          <w:b/>
          <w:sz w:val="32"/>
          <w:szCs w:val="32"/>
        </w:rPr>
        <w:t>扎实做好根治拖欠农民工工资工作。</w:t>
      </w:r>
      <w:r>
        <w:rPr>
          <w:rFonts w:ascii="仿宋_GB2312" w:hAnsi="仿宋_GB2312"/>
          <w:bCs/>
          <w:sz w:val="32"/>
          <w:szCs w:val="32"/>
        </w:rPr>
        <w:t>大力</w:t>
      </w:r>
      <w:r>
        <w:rPr>
          <w:rFonts w:ascii="仿宋_GB2312" w:hAnsi="仿宋_GB2312"/>
          <w:sz w:val="32"/>
          <w:szCs w:val="32"/>
        </w:rPr>
        <w:t>开展根治拖欠农民工工资专项排查活动。对辖区内建设项目工地根治欠薪工作进行督导检查，认真落实治欠保支的各项制度，实现根治欠薪各项制度在建</w:t>
      </w:r>
      <w:r>
        <w:rPr>
          <w:rFonts w:ascii="仿宋_GB2312" w:hAnsi="仿宋_GB2312"/>
          <w:spacing w:val="-6"/>
          <w:sz w:val="32"/>
          <w:szCs w:val="32"/>
        </w:rPr>
        <w:t>项目全覆盖、欠薪积案“两清零”。</w:t>
      </w:r>
    </w:p>
    <w:p>
      <w:pPr>
        <w:pStyle w:val="3"/>
        <w:autoSpaceDE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5.落实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全面</w:t>
      </w:r>
      <w:bookmarkStart w:id="0" w:name="_GoBack"/>
      <w:bookmarkEnd w:id="0"/>
      <w:r>
        <w:rPr>
          <w:rFonts w:ascii="仿宋_GB2312" w:hAnsi="仿宋_GB2312"/>
          <w:b/>
          <w:bCs/>
          <w:sz w:val="32"/>
          <w:szCs w:val="32"/>
        </w:rPr>
        <w:t>从严治党要求，提高服务</w:t>
      </w:r>
      <w:r>
        <w:rPr>
          <w:rFonts w:hint="eastAsia" w:ascii="仿宋" w:hAnsi="仿宋" w:eastAsia="仿宋"/>
          <w:b/>
          <w:bCs/>
          <w:sz w:val="32"/>
          <w:szCs w:val="32"/>
        </w:rPr>
        <w:t>意识，增强服务本领</w:t>
      </w:r>
      <w:r>
        <w:rPr>
          <w:rFonts w:hint="eastAsia" w:ascii="仿宋" w:hAnsi="仿宋" w:eastAsia="仿宋"/>
          <w:sz w:val="32"/>
          <w:szCs w:val="32"/>
        </w:rPr>
        <w:t>。领导班子以身作则，严于律己，带头执行中央八项规定，责令各条线</w:t>
      </w:r>
      <w:r>
        <w:rPr>
          <w:rFonts w:ascii="仿宋_GB2312" w:hAnsi="仿宋_GB2312"/>
          <w:sz w:val="32"/>
          <w:szCs w:val="32"/>
        </w:rPr>
        <w:t>按照廉政风险防控手册执行，堵住廉政风险点。切实加强作风建设和狠抓行风建设，严禁干部职工接受服务群众和服务企业的宴请、红包礼券等。持</w:t>
      </w:r>
      <w:r>
        <w:rPr>
          <w:rFonts w:hint="eastAsia" w:ascii="仿宋" w:hAnsi="仿宋" w:eastAsia="仿宋"/>
          <w:sz w:val="32"/>
          <w:szCs w:val="32"/>
        </w:rPr>
        <w:t>续开展人社窗口业务技能练兵比武活动，提升业务技能，提高工作效率，让所有人社工作人员力争做到业务精通，树立人社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良好形象。</w:t>
      </w:r>
      <w:r>
        <w:rPr>
          <w:rFonts w:eastAsia="仿宋_GB2312"/>
        </w:rPr>
        <w:t xml:space="preserve"> 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/>
          <w:b/>
          <w:color w:val="333333"/>
          <w:sz w:val="30"/>
          <w:szCs w:val="30"/>
        </w:rPr>
      </w:pPr>
      <w:r>
        <w:rPr>
          <w:rFonts w:hint="eastAsia"/>
          <w:b/>
          <w:color w:val="333333"/>
          <w:sz w:val="30"/>
          <w:szCs w:val="30"/>
        </w:rPr>
        <w:t>六、存在的主要问题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/>
          <w:b/>
          <w:color w:val="333333"/>
          <w:sz w:val="30"/>
          <w:szCs w:val="30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绩效评价机制有待完善，以形成对财政资金的全面监管和对绩效目标的实时监控。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七、改进措施和有关建议</w:t>
      </w:r>
    </w:p>
    <w:p>
      <w:pPr>
        <w:pStyle w:val="3"/>
        <w:shd w:val="clear" w:color="auto" w:fill="FFFFFF"/>
        <w:spacing w:before="225" w:beforeAutospacing="0" w:after="225" w:afterAutospacing="0" w:line="480" w:lineRule="atLeast"/>
        <w:ind w:firstLine="480"/>
        <w:jc w:val="both"/>
        <w:textAlignment w:val="center"/>
        <w:rPr>
          <w:rFonts w:hint="eastAsia" w:ascii="仿宋_GB2312" w:hAnsi="仿宋_GB2312" w:eastAsiaTheme="minorEastAsia" w:cstheme="minorBidi"/>
          <w:kern w:val="2"/>
          <w:sz w:val="32"/>
          <w:szCs w:val="32"/>
        </w:rPr>
      </w:pPr>
      <w:r>
        <w:rPr>
          <w:rFonts w:hint="eastAsia" w:ascii="仿宋_GB2312" w:hAnsi="仿宋_GB2312" w:eastAsiaTheme="minorEastAsia" w:cstheme="minorBidi"/>
          <w:kern w:val="2"/>
          <w:sz w:val="32"/>
          <w:szCs w:val="32"/>
        </w:rPr>
        <w:t>完善绩效评价机制，建立和完善内部控制制度，形成完善的事前、事中、事后全过程的内控监督制度。</w:t>
      </w:r>
    </w:p>
    <w:p>
      <w:pPr>
        <w:rPr>
          <w:rFonts w:ascii="仿宋_GB2312" w:hAnsi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kMjk1Njc2ZTZkMWQzMTgyYmEzOTdlMjc5NGI5NjYifQ=="/>
  </w:docVars>
  <w:rsids>
    <w:rsidRoot w:val="00DD4C38"/>
    <w:rsid w:val="004B53FC"/>
    <w:rsid w:val="00540BFE"/>
    <w:rsid w:val="00607E39"/>
    <w:rsid w:val="008E525F"/>
    <w:rsid w:val="00902D02"/>
    <w:rsid w:val="009D1701"/>
    <w:rsid w:val="00B20567"/>
    <w:rsid w:val="00BE1074"/>
    <w:rsid w:val="00C424DA"/>
    <w:rsid w:val="00DD4C38"/>
    <w:rsid w:val="00E26966"/>
    <w:rsid w:val="00E53340"/>
    <w:rsid w:val="0C493831"/>
    <w:rsid w:val="556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 2"/>
    <w:basedOn w:val="2"/>
    <w:link w:val="8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7">
    <w:name w:val="正文文本缩进 Char"/>
    <w:basedOn w:val="6"/>
    <w:link w:val="2"/>
    <w:semiHidden/>
    <w:qFormat/>
    <w:uiPriority w:val="99"/>
  </w:style>
  <w:style w:type="character" w:customStyle="1" w:styleId="8">
    <w:name w:val="正文首行缩进 2 Char"/>
    <w:basedOn w:val="7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15"/>
    <w:basedOn w:val="6"/>
    <w:uiPriority w:val="0"/>
    <w:rPr>
      <w:rFonts w:hint="default" w:ascii="Calibri" w:hAnsi="Calibri"/>
    </w:rPr>
  </w:style>
  <w:style w:type="paragraph" w:customStyle="1" w:styleId="10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黑体" w:hAnsi="Calibri" w:eastAsia="黑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3636</Words>
  <Characters>3822</Characters>
  <Lines>27</Lines>
  <Paragraphs>7</Paragraphs>
  <TotalTime>73</TotalTime>
  <ScaleCrop>false</ScaleCrop>
  <LinksUpToDate>false</LinksUpToDate>
  <CharactersWithSpaces>3825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2022-09-30T05:50:00Z</dcterms:created>
  <dc:creator>Administrator</dc:creator>
  <cp:lastModifiedBy>Administrator</cp:lastModifiedBy>
  <dcterms:modified xsi:type="dcterms:W3CDTF">2022-11-24T07:44:32Z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A54588387CD24319995A8FD6CEA7F9E8</vt:lpwstr>
  </property>
</Properties>
</file>