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7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芙蓉区审计局</w:t>
      </w:r>
      <w:bookmarkStart w:id="0" w:name="_GoBack"/>
      <w:bookmarkEnd w:id="0"/>
    </w:p>
    <w:p>
      <w:pPr>
        <w:pStyle w:val="4"/>
        <w:spacing w:line="7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整体支出绩效评价报告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一、部门概况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（一）部门基本情况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1、内设机构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芙蓉区审计局内设机构包括：办公室、法规审理科、综合审计科、领导干部经济责任审计室、内部审计指导科；非独立核算的全额拨款事业单位包括：政府投资审计中心和内部审计指导站。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人员情况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芙蓉区审计局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末实有人数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人，其中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在职在编人员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人，政府雇员3人，外聘专家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公益性岗位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职能职责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）向区人民政府报告和向区人民政府有关部门通报审计情况，提出制定和完善有关政策法规、宏观调控措施的建议。 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根据《中华人民共和国审计法》的规定，直接审计：区本级财政预算执行情况和其他财政收支；区属国有企业及地方金融机构的资产、负债和损益情况；区直各部门、事业单位的财务收支和专用资金使用情况；区人民政府及区直各部门基本建设项目概预算执行和决算；根据《中华人民共和国审计法》和地方人民政府授权，审计集体经济组织资产、负债和损益。受区委、区人民政府委托，依法对党政领导干部和国有企业负责人进行任期经济责任审计。 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)承办区委、区政府和上级审计机关交办的其他事项。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（二）部门年度预算收支</w:t>
      </w:r>
      <w:r>
        <w:rPr>
          <w:rFonts w:ascii="Times New Roman" w:hAnsi="Times New Roman" w:eastAsia="仿宋_GB2312"/>
          <w:sz w:val="32"/>
          <w:szCs w:val="32"/>
        </w:rPr>
        <w:t>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情况、部门整体支出使用方向和主要内容、涉及范围。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收入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153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年初结转和结余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84万元，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本年支出合计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1,069.13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，年末结转和结余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168.7万元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本年支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出合计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1,069.13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其中:基本支出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万元，是指为保障单位机构正常运转、完成日常工作任务而发生的各项支出，包括用于基本工资、津贴补贴等人员经费以及办公费、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邮电费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、办公设备购置等日常公用经费。项目支出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412.8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万元，是指单位为完成特定行政工作任务或事业发展目标而发生的支出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，包括外协审计费、审计业务专项用等。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二、部门整体支出管理及使用情况</w:t>
      </w:r>
    </w:p>
    <w:p>
      <w:pPr>
        <w:adjustRightInd w:val="0"/>
        <w:snapToGrid w:val="0"/>
        <w:spacing w:line="572" w:lineRule="exact"/>
        <w:ind w:firstLine="643" w:firstLineChars="20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（一）基本支出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基本支出主要包括用于基本工资、津贴补贴等人员经费以及办公费、邮电费、办公设备购置等日常公用经费。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年部门决算基本支出656.33万元，其中：人员经费611.23万元，占基本支出的93.13%，主要包括基本工资、津贴补贴、奖金、机关事业单位基本养老保险缴费、其他社会保障缴费、住房公积金、其他工资福利支出、退休费、生活补助、医疗费补助等；公用经费45.10万元，占基本支出的6.87%，主要包括办公费、印刷费、培训费、邮电费、劳务费、工会经费、其他交通费用、其他商品服务和支出、办公设备购置费等。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我单位认真执行作风建设相关规定，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厉行节约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年全年无超预算三公经费支出，本年度三公经费决算数为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。其中:因公出国出境费用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，公务接待费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，公车运行维护费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72" w:lineRule="exact"/>
        <w:ind w:firstLine="643" w:firstLineChars="20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（二）项目支出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项目支出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主要包括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外协审计费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，主要用于聘请外部审计事务所费用；审计专项业务费，主要用于审计人员外勤补贴及部分财务审计外协支出；审计中心办公费，主要用于投资审计中心的办公经费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；联网审计系统运行维护费，主要用于支付联网审计平台建设及维护费；内审工作指导及培训费，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主要用于全区内部审计机构的业务培训及相关专业书籍的订阅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本年部门决算项目支出412.81万元，主要为外协审计费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1.44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万元，占项目支出的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82.71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%；审计专项业务费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50.26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万元,占项目支出的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12.17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%;审计中心办公费9.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万元，占项目支出的2.2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%；；联网审计系统运行费8万元，占项目支出的1.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%；内审工作指导和培训费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万元，占项目支出0.9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%。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三、部门项目组织实施情况</w:t>
      </w:r>
    </w:p>
    <w:p>
      <w:pPr>
        <w:adjustRightInd w:val="0"/>
        <w:snapToGrid w:val="0"/>
        <w:spacing w:line="60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严格遵照相关支付制度、经费管理办法来管理、使用财政资金，政府采购按照政府采购管理办法组织实施。对已具备验收条件的项目，及时组织验收、移交使用。同时加强对资金的监督管理，采取事前、事中、事后相结合、日常监督和专项监督相结合的方式，对资金使用行为实施全过程监督管理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资产管理情况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本单位20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年末固定资产原值114.26万元，其中通用设备原值102.39万元、专业设备原值0.08万元、家具、用具、装具及动植物原值11.80万元；固定资产累计折旧92.06万元，其中通用设备累计折旧84.14万元、专业设备累计折旧0.0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万元、家具、用具、装具及动植物累计折旧7.84万元。20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无偿调拨一批资产至区财政局，其中3套办公桌椅原值0.38万元，累计折旧0.24万；3台台式机及计价软件原值2.1万元，累计折旧1.79万元。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室设立资产专管员，负责资产管理，包括资产的采购、验收、登记、领用、维修保养及处置等日常管理。对纳入政府采购范围的资产，依法履行政府采购规定程序，对购入的固定资产要进行验收，填写固定资产验收单，明确使用科室和使用人;专管员登记固定资产账卡，及时告知会计进行账务处理;定期对固定资产进行账实核对，做到账账相符、账物相符、账卡相符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年，我单位对部门整体支出绩效开展了自评，涉及资金1,069.13万元，绩效评价结果显示优；对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个项目支出绩效开展了自评，涉及资金412.81万元，绩效评价结果显示优。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强化对重点领域、重点部门、重点资金的审计监督，共完成审计项目89个，其中：包括2019年度财政预算执行情况审计项目；全区财政供养编外人员情况专项审计调查、全区房屋类国有资产管理情况专项审计调查、应对新冠肺炎疫情防控资金和捐赠款物专项审计调查以及“一圈两场三道”专项审计调查4个项目；区行政审批局、区委党校、区湘湖管理局的7个领导干部经济责任审计项目；浏阳河人行景观桥（汉桥）工程项目概算调整审计项目1个，共查出管理不规范金额14,275万，违规金额219万元，归还原渠道资金91万元；政府投资结算审计项目76个，项目送审金额为10.88亿元，审计核减金额为2.23亿元，核减率达到20.47%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六、存在的主要问题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绩效评价机制有待完善，以形成对财政资金的全面监管和对绩效目标的实时监控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七、改进措施和有关建议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完善绩效评价机制，建立和完善内部控制制度，形成完善的事前、事中、事后全过程的内控监督制度。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4E7C32"/>
    <w:multiLevelType w:val="singleLevel"/>
    <w:tmpl w:val="0A4E7C3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C2EE7F"/>
    <w:multiLevelType w:val="singleLevel"/>
    <w:tmpl w:val="6CC2EE7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ZWEzZmQ4MDMzMTRmMmEzMjFiZTNhMDE0NmQ0ODMifQ=="/>
  </w:docVars>
  <w:rsids>
    <w:rsidRoot w:val="754F33E8"/>
    <w:rsid w:val="0FBE2358"/>
    <w:rsid w:val="19B911FA"/>
    <w:rsid w:val="1C710813"/>
    <w:rsid w:val="25891CEB"/>
    <w:rsid w:val="308522D0"/>
    <w:rsid w:val="33507828"/>
    <w:rsid w:val="4994305F"/>
    <w:rsid w:val="754F33E8"/>
    <w:rsid w:val="7C3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2251</Words>
  <Characters>2458</Characters>
  <Lines>0</Lines>
  <Paragraphs>0</Paragraphs>
  <TotalTime>2</TotalTime>
  <ScaleCrop>false</ScaleCrop>
  <LinksUpToDate>false</LinksUpToDate>
  <CharactersWithSpaces>2468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2021-09-18T03:59:00Z</dcterms:created>
  <dc:creator>灵宁</dc:creator>
  <cp:lastModifiedBy>杨瑶</cp:lastModifiedBy>
  <dcterms:modified xsi:type="dcterms:W3CDTF">2022-09-05T01:51:09Z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C84718C3CBE7449A985DE2CD6BDB4619</vt:lpwstr>
  </property>
</Properties>
</file>