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年度芙蓉区审计局</w:t>
      </w:r>
    </w:p>
    <w:p>
      <w:pPr>
        <w:pStyle w:val="6"/>
        <w:spacing w:line="7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部门整体支出绩效评价报告</w:t>
      </w: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一、部门概况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（一）部门基本情况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1、内设机构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芙蓉区审计局内设机构包括：办公室、法规审理科、综合审计科、领导干部经济责任审计室、内部审计指导科；非独立核算的全额拨款事业单位包括：政府投资审计中心和内部审计指导站。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2、人员情况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芙蓉区审计局202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年末实有人数28人，其中在职在编人员19人，政府雇员3人，外聘专家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人，公益性岗位2人。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3、职能职责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（1）向区人民政府报告和向区人民政府有关部门通报审计情况，提出制定和完善有关政策法规、宏观调控措施的建议。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根据《中华人民共和国审计法》的规定，直接审计：区本级财政预算执行情况和其他财政收支；区属国有企业及地方金融机构的资产、负债和损益情况；区直各部门、事业单位的财务收支和专用资金使用情况；根据《中华人民共和国审计法》和地方人民政府授权，审计集体经济组织资产、负债和损益。受区委、区人民政府委托，依法对党政领导干部和国有企业负责人进行任期经济责任审计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(3)承办区委、区政府和上级审计机关交办的其他事项。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（二）部门年度预算收支</w:t>
      </w:r>
      <w:r>
        <w:rPr>
          <w:rFonts w:ascii="Times New Roman" w:hAnsi="Times New Roman" w:eastAsia="仿宋_GB2312"/>
          <w:sz w:val="32"/>
          <w:szCs w:val="32"/>
        </w:rPr>
        <w:t>余</w:t>
      </w:r>
      <w:r>
        <w:rPr>
          <w:rFonts w:ascii="Times New Roman" w:hAnsi="Times New Roman" w:eastAsia="仿宋_GB2312" w:cs="Times New Roman"/>
          <w:sz w:val="32"/>
          <w:szCs w:val="32"/>
        </w:rPr>
        <w:t>情况、部门整体支出使用方向和主要内容、涉及范围。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本年</w:t>
      </w:r>
      <w:r>
        <w:rPr>
          <w:rFonts w:ascii="Times New Roman" w:hAnsi="Times New Roman" w:eastAsia="仿宋_GB2312" w:cs="Times New Roman"/>
          <w:sz w:val="32"/>
          <w:szCs w:val="32"/>
        </w:rPr>
        <w:t>收入1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212.99万元，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年初结转和结余158.98万元，本年支出合计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371.97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万元，年末结转和结余0万元。本年支出合计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371.97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万元,</w:t>
      </w:r>
      <w:r>
        <w:rPr>
          <w:rFonts w:ascii="Times New Roman" w:hAnsi="Times New Roman" w:eastAsia="仿宋_GB2312" w:cs="Times New Roman"/>
          <w:sz w:val="32"/>
          <w:szCs w:val="32"/>
        </w:rPr>
        <w:t>其中:基本支出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737.18</w:t>
      </w:r>
      <w:r>
        <w:rPr>
          <w:rFonts w:ascii="Times New Roman" w:hAnsi="Times New Roman" w:eastAsia="仿宋_GB2312" w:cs="Times New Roman"/>
          <w:sz w:val="32"/>
          <w:szCs w:val="32"/>
        </w:rPr>
        <w:t>万元，是指为保障单位机构正常运转、完成日常工作任务而发生的各项支出，包括用于基本工资、津贴补贴等人员经费以及办公费、邮电费、办公设备购置等日常公用经费。项目支出634.79万元，是指单位为完成特定行政工作任务或事业发展目标而发生的支出，包括外协审计费、审计业务专项用等。</w:t>
      </w: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72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（一）基本支出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基本支出主要包括用于基本工资、津贴补贴等人员经费以及办公费、邮电费、办公设备购置等日常公用经费。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本年部门决算基本支出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737.18</w:t>
      </w:r>
      <w:r>
        <w:rPr>
          <w:rFonts w:ascii="Times New Roman" w:hAnsi="Times New Roman" w:eastAsia="仿宋_GB2312" w:cs="Times New Roman"/>
          <w:sz w:val="32"/>
          <w:szCs w:val="32"/>
        </w:rPr>
        <w:t>万元，其中：人员经费6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77</w:t>
      </w:r>
      <w:r>
        <w:rPr>
          <w:rFonts w:ascii="Times New Roman" w:hAnsi="Times New Roman" w:eastAsia="仿宋_GB2312" w:cs="Times New Roman"/>
          <w:sz w:val="32"/>
          <w:szCs w:val="32"/>
        </w:rPr>
        <w:t>万元，占基本支出的9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38</w:t>
      </w:r>
      <w:r>
        <w:rPr>
          <w:rFonts w:ascii="Times New Roman" w:hAnsi="Times New Roman" w:eastAsia="仿宋_GB2312" w:cs="Times New Roman"/>
          <w:sz w:val="32"/>
          <w:szCs w:val="32"/>
        </w:rPr>
        <w:t>%，主要包括基本工资、津贴补贴、奖金、机关事业单位基本养老保险缴费、其他社会保障缴费、住房公积金、其他工资福利支出、退休费、生活补助、医疗费补助等；公用经费4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41</w:t>
      </w:r>
      <w:r>
        <w:rPr>
          <w:rFonts w:ascii="Times New Roman" w:hAnsi="Times New Roman" w:eastAsia="仿宋_GB2312" w:cs="Times New Roman"/>
          <w:sz w:val="32"/>
          <w:szCs w:val="32"/>
        </w:rPr>
        <w:t>万元，占基本支出的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62</w:t>
      </w:r>
      <w:r>
        <w:rPr>
          <w:rFonts w:ascii="Times New Roman" w:hAnsi="Times New Roman" w:eastAsia="仿宋_GB2312" w:cs="Times New Roman"/>
          <w:sz w:val="32"/>
          <w:szCs w:val="32"/>
        </w:rPr>
        <w:t>%，主要包括办公费、印刷费、培训费、邮电费、劳务费、工会经费、其他交通费用、其他商品服务和支出、办公设备购置费等。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我单位认真执行作风建设相关规定，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行节约，202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年全年无超预算三公经费支出，本年度三公经费决算数为0万元。其中:因公出国出境费用0万元，公务接待费0万元，公车运行维护费0万元。</w:t>
      </w:r>
    </w:p>
    <w:p>
      <w:pPr>
        <w:adjustRightInd w:val="0"/>
        <w:snapToGrid w:val="0"/>
        <w:spacing w:line="572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（二）项目支出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支出主要包括外协审计费，主要用于聘请外部审计事务所费用；审计专项业务费，主要用于审计人员外勤补贴及部分财务审计外协支出；审计中心办公费，主要用于投资审计中心的办公经费等；联网审计系统运行维护费，主要用于支付联网审计平台建设及维护费；内审工作指导及培训费，主要用于全区内部审计机构的业务培训及相关专业书籍的订阅。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本年部门决算项目支出634.79万元，主要为外协审计费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2.46</w:t>
      </w:r>
      <w:r>
        <w:rPr>
          <w:rFonts w:ascii="Times New Roman" w:hAnsi="Times New Roman" w:eastAsia="仿宋_GB2312" w:cs="Times New Roman"/>
          <w:sz w:val="32"/>
          <w:szCs w:val="32"/>
        </w:rPr>
        <w:t>万元，占项目支出的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85.46</w:t>
      </w:r>
      <w:r>
        <w:rPr>
          <w:rFonts w:ascii="Times New Roman" w:hAnsi="Times New Roman" w:eastAsia="仿宋_GB2312" w:cs="Times New Roman"/>
          <w:sz w:val="32"/>
          <w:szCs w:val="32"/>
        </w:rPr>
        <w:t>%；审计专项业务费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77.65</w:t>
      </w:r>
      <w:r>
        <w:rPr>
          <w:rFonts w:ascii="Times New Roman" w:hAnsi="Times New Roman" w:eastAsia="仿宋_GB2312" w:cs="Times New Roman"/>
          <w:sz w:val="32"/>
          <w:szCs w:val="32"/>
        </w:rPr>
        <w:t>万元,占项目支出的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12.23</w:t>
      </w:r>
      <w:r>
        <w:rPr>
          <w:rFonts w:ascii="Times New Roman" w:hAnsi="Times New Roman" w:eastAsia="仿宋_GB2312" w:cs="Times New Roman"/>
          <w:sz w:val="32"/>
          <w:szCs w:val="32"/>
        </w:rPr>
        <w:t>%;联网审计系统运行费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9.5</w:t>
      </w:r>
      <w:r>
        <w:rPr>
          <w:rFonts w:ascii="Times New Roman" w:hAnsi="Times New Roman" w:eastAsia="仿宋_GB2312" w:cs="Times New Roman"/>
          <w:sz w:val="32"/>
          <w:szCs w:val="32"/>
        </w:rPr>
        <w:t>万元，占项目支出的1.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%；内审工作指导和培训费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万元，占项目支出0.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62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;</w:t>
      </w:r>
      <w:r>
        <w:rPr>
          <w:rFonts w:ascii="Times New Roman" w:hAnsi="Times New Roman" w:eastAsia="仿宋_GB2312" w:cs="Times New Roman"/>
          <w:sz w:val="32"/>
          <w:szCs w:val="32"/>
        </w:rPr>
        <w:t>审计中心办公费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万元，占项目支出的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0.19</w:t>
      </w:r>
      <w:r>
        <w:rPr>
          <w:rFonts w:ascii="Times New Roman" w:hAnsi="Times New Roman" w:eastAsia="仿宋_GB2312" w:cs="Times New Roman"/>
          <w:sz w:val="32"/>
          <w:szCs w:val="32"/>
        </w:rPr>
        <w:t>%；。</w:t>
      </w: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 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资产管理情况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本单位20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年末固定资产原值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sz w:val="32"/>
          <w:szCs w:val="32"/>
        </w:rPr>
        <w:t>万元，其中通用设备原值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9万元、专业设备原值0.08万元、家具、用具、装具及动植物原值11.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62</w:t>
      </w:r>
      <w:r>
        <w:rPr>
          <w:rFonts w:ascii="Times New Roman" w:hAnsi="Times New Roman" w:eastAsia="仿宋_GB2312" w:cs="Times New Roman"/>
          <w:sz w:val="32"/>
          <w:szCs w:val="32"/>
        </w:rPr>
        <w:t>万元；固定资产累计折旧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13</w:t>
      </w:r>
      <w:r>
        <w:rPr>
          <w:rFonts w:ascii="Times New Roman" w:hAnsi="Times New Roman" w:eastAsia="仿宋_GB2312" w:cs="Times New Roman"/>
          <w:sz w:val="32"/>
          <w:szCs w:val="32"/>
        </w:rPr>
        <w:t>万元，其中通用设备累计折旧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56</w:t>
      </w:r>
      <w:r>
        <w:rPr>
          <w:rFonts w:ascii="Times New Roman" w:hAnsi="Times New Roman" w:eastAsia="仿宋_GB2312" w:cs="Times New Roman"/>
          <w:sz w:val="32"/>
          <w:szCs w:val="32"/>
        </w:rPr>
        <w:t>万元、专业设备累计折旧0.0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万元、家具、用具、装具及动植物累计折旧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49</w:t>
      </w:r>
      <w:r>
        <w:rPr>
          <w:rFonts w:ascii="Times New Roman" w:hAnsi="Times New Roman" w:eastAsia="仿宋_GB2312" w:cs="Times New Roman"/>
          <w:sz w:val="32"/>
          <w:szCs w:val="32"/>
        </w:rPr>
        <w:t>万元。20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报废一批家具及电子设备，其中2套家具原值0.18万元，累计折旧0.18万；31台电子设备原值28.19万元，累计折旧28.19万元。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年，我单位对部门整体支出绩效开展了自评，涉及资金1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371.97万元，绩效评价结果显示优；对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个项目支出绩效开展了自评，涉及资金634.79万元，绩效评价结果显示优。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我单位深化预算执行和财政收支审计,重点关注了国家重大决策部署和政策措施贯彻落实情况、收支预算执行情况、财政管理情况等，进一步促进财政资金配置效率和使用效益的提高。扎实开展领导干部经济责任审计，完成9名领导干部经济责任审计项目，强化对权力运行的制约和监督，促进领导干部履职尽责。全力做好重点工程项目的审计工作。加强对政府重大项目建设和管理情况的审计监督，按照“全面监督、突出重点、分布突破”的思路，严格执行审计流程及相关制度，确保审计质量，防范审计风险。加强对内部审计的指导和监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绩效评价机制有待完善，以形成对财政资金的全面监管和对绩效目标的实时监控。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七、改进措施和有关建议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完善绩效评价机制，建立和完善内部控制制度，形成完善的事前、事中、事后全过程的内控监督制度。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E7C32"/>
    <w:multiLevelType w:val="singleLevel"/>
    <w:tmpl w:val="0A4E7C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C2EE7F"/>
    <w:multiLevelType w:val="singleLevel"/>
    <w:tmpl w:val="6CC2EE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jNjZiNjkwOGE3YzdhZWU1NmQwZmI3MzlhNGRiZTEifQ=="/>
  </w:docVars>
  <w:rsids>
    <w:rsidRoot w:val="754F33E8"/>
    <w:rsid w:val="00035679"/>
    <w:rsid w:val="00075596"/>
    <w:rsid w:val="00090BF3"/>
    <w:rsid w:val="00265D89"/>
    <w:rsid w:val="00381972"/>
    <w:rsid w:val="00400A03"/>
    <w:rsid w:val="005B0F05"/>
    <w:rsid w:val="00601D1F"/>
    <w:rsid w:val="0069721C"/>
    <w:rsid w:val="007A0370"/>
    <w:rsid w:val="007E3BB1"/>
    <w:rsid w:val="00A56D03"/>
    <w:rsid w:val="00CD178C"/>
    <w:rsid w:val="00D65F73"/>
    <w:rsid w:val="0FBE2358"/>
    <w:rsid w:val="19B911FA"/>
    <w:rsid w:val="1C710813"/>
    <w:rsid w:val="25891CEB"/>
    <w:rsid w:val="308522D0"/>
    <w:rsid w:val="33507828"/>
    <w:rsid w:val="459E3E8E"/>
    <w:rsid w:val="4994305F"/>
    <w:rsid w:val="754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2183</Words>
  <Characters>2368</Characters>
  <Lines>17</Lines>
  <Paragraphs>4</Paragraphs>
  <TotalTime>48</TotalTime>
  <ScaleCrop>false</ScaleCrop>
  <LinksUpToDate>false</LinksUpToDate>
  <CharactersWithSpaces>2378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2021-09-18T03:59:00Z</dcterms:created>
  <dc:creator>灵宁</dc:creator>
  <cp:lastModifiedBy>Administrator</cp:lastModifiedBy>
  <dcterms:modified xsi:type="dcterms:W3CDTF">2023-06-13T05:44:54Z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C84718C3CBE7449A985DE2CD6BDB4619</vt:lpwstr>
  </property>
</Properties>
</file>