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w:t>
      </w:r>
      <w:r>
        <w:rPr>
          <w:rFonts w:hint="eastAsia" w:ascii="Times New Roman" w:hAnsi="Times New Roman" w:eastAsia="方正小标宋简体" w:cs="Times New Roman"/>
          <w:sz w:val="44"/>
          <w:szCs w:val="44"/>
          <w:lang w:eastAsia="zh-CN"/>
        </w:rPr>
        <w:t>长沙市芙蓉区文艺路街道办事处部门</w:t>
      </w:r>
      <w:r>
        <w:rPr>
          <w:rFonts w:hint="default" w:ascii="Times New Roman" w:hAnsi="Times New Roman" w:eastAsia="方正小标宋简体" w:cs="Times New Roman"/>
          <w:sz w:val="44"/>
          <w:szCs w:val="44"/>
        </w:rPr>
        <w:t>整体支出绩效</w:t>
      </w:r>
      <w:r>
        <w:rPr>
          <w:rFonts w:hint="eastAsia" w:ascii="Times New Roman" w:hAnsi="Times New Roman" w:eastAsia="方正小标宋简体" w:cs="Times New Roman"/>
          <w:sz w:val="44"/>
          <w:szCs w:val="44"/>
          <w:lang w:eastAsia="zh-CN"/>
        </w:rPr>
        <w:t>评价</w:t>
      </w:r>
      <w:r>
        <w:rPr>
          <w:rFonts w:hint="default" w:ascii="Times New Roman" w:hAnsi="Times New Roman" w:eastAsia="方正小标宋简体" w:cs="Times New Roman"/>
          <w:sz w:val="44"/>
          <w:szCs w:val="44"/>
        </w:rPr>
        <w:t>报告</w:t>
      </w:r>
    </w:p>
    <w:p>
      <w:pPr>
        <w:spacing w:line="600" w:lineRule="exact"/>
        <w:jc w:val="both"/>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（一）部门基本情况</w:t>
      </w:r>
    </w:p>
    <w:p>
      <w:p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1、组织机构设置情况</w:t>
      </w:r>
    </w:p>
    <w:p>
      <w:pPr>
        <w:spacing w:line="600" w:lineRule="exact"/>
        <w:ind w:firstLine="640" w:firstLineChars="200"/>
        <w:rPr>
          <w:rFonts w:hint="eastAsia" w:ascii="楷体" w:hAnsi="楷体" w:eastAsia="楷体" w:cs="楷体"/>
          <w:b/>
          <w:bCs/>
          <w:sz w:val="32"/>
          <w:szCs w:val="32"/>
        </w:rPr>
      </w:pPr>
      <w:r>
        <w:rPr>
          <w:rFonts w:hint="eastAsia" w:ascii="仿宋_GB2312" w:hAnsi="Calibri" w:eastAsia="仿宋_GB2312" w:cs="Times New Roman"/>
          <w:kern w:val="2"/>
          <w:sz w:val="32"/>
          <w:szCs w:val="32"/>
          <w:lang w:val="en-US" w:eastAsia="zh-CN" w:bidi="ar-SA"/>
        </w:rPr>
        <w:t>文艺路街道位于长沙市商贾云集的繁华地段，是芙蓉区的重要窗口之一。街道北起五一中路，南临人民中路，东接韶山中路，西至芙蓉中路，总面积0.98平方公里。</w:t>
      </w:r>
      <w:r>
        <w:rPr>
          <w:rFonts w:hint="eastAsia" w:ascii="仿宋_GB2312" w:hAnsi="仿宋_GB2312" w:eastAsia="仿宋_GB2312" w:cs="仿宋_GB2312"/>
          <w:color w:val="000000"/>
          <w:sz w:val="32"/>
          <w:lang w:val="en-US" w:eastAsia="zh-CN"/>
        </w:rPr>
        <w:t>根据编办核定，文艺路街道办事处包括本级、内设科室、二级机构。内设科室分别是党政综合办公室、基层党建办公室、城市管理办公室、公共服务办公室（行政审批服务办公室）、公共安全办公室、纪检监察室、财政所；二级机构分别是：街道政务服务中心（街道党群服务中心）、街道网格化综合服务中心、街道退役军人服务站。</w:t>
      </w:r>
      <w:r>
        <w:rPr>
          <w:rFonts w:hint="eastAsia" w:eastAsia="仿宋_GB2312" w:cs="仿宋_GB2312"/>
          <w:sz w:val="32"/>
          <w:szCs w:val="32"/>
          <w:lang w:eastAsia="zh-CN"/>
        </w:rPr>
        <w:t>辖区</w:t>
      </w:r>
      <w:r>
        <w:rPr>
          <w:rFonts w:hint="eastAsia" w:ascii="Times New Roman" w:hAnsi="Times New Roman" w:eastAsia="仿宋_GB2312" w:cs="仿宋_GB2312"/>
          <w:sz w:val="32"/>
          <w:szCs w:val="32"/>
        </w:rPr>
        <w:t>7个</w:t>
      </w:r>
      <w:r>
        <w:rPr>
          <w:rFonts w:hint="eastAsia" w:ascii="Times New Roman" w:hAnsi="Times New Roman" w:eastAsia="仿宋_GB2312" w:cs="仿宋_GB2312"/>
          <w:spacing w:val="4"/>
          <w:sz w:val="32"/>
          <w:szCs w:val="32"/>
        </w:rPr>
        <w:t>基层群众性自治组织</w:t>
      </w:r>
      <w:r>
        <w:rPr>
          <w:rFonts w:hint="eastAsia" w:ascii="Times New Roman" w:hAnsi="Times New Roman" w:eastAsia="仿宋_GB2312" w:cs="仿宋_GB2312"/>
          <w:spacing w:val="4"/>
          <w:sz w:val="32"/>
          <w:szCs w:val="32"/>
          <w:lang w:eastAsia="zh-CN"/>
        </w:rPr>
        <w:t>，分别是</w:t>
      </w:r>
      <w:r>
        <w:rPr>
          <w:rFonts w:hint="eastAsia" w:ascii="Times New Roman" w:hAnsi="Times New Roman" w:eastAsia="仿宋_GB2312" w:cs="仿宋_GB2312"/>
          <w:spacing w:val="4"/>
          <w:sz w:val="32"/>
          <w:szCs w:val="32"/>
        </w:rPr>
        <w:t>：识字里社区、文艺新村社区、韭菜园社区、湘府社区、南元宫社区、乔庄社区、东广济桥社区</w:t>
      </w:r>
      <w:r>
        <w:rPr>
          <w:rFonts w:hint="eastAsia" w:ascii="仿宋_GB2312" w:hAnsi="Calibri" w:eastAsia="仿宋_GB2312" w:cs="Times New Roman"/>
          <w:kern w:val="2"/>
          <w:sz w:val="32"/>
          <w:szCs w:val="32"/>
          <w:lang w:val="en-US" w:eastAsia="zh-CN" w:bidi="ar-SA"/>
        </w:rPr>
        <w:t>。</w:t>
      </w:r>
    </w:p>
    <w:p>
      <w:p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2、人员情况</w:t>
      </w:r>
    </w:p>
    <w:p>
      <w:pPr>
        <w:spacing w:line="600" w:lineRule="exact"/>
        <w:ind w:firstLine="640" w:firstLineChars="200"/>
        <w:rPr>
          <w:rFonts w:hint="default" w:ascii="仿宋_GB2312" w:hAnsi="Calibri" w:eastAsia="仿宋_GB2312" w:cs="Times New Roman"/>
          <w:kern w:val="2"/>
          <w:sz w:val="32"/>
          <w:szCs w:val="32"/>
          <w:lang w:val="en-US" w:eastAsia="zh-CN" w:bidi="ar-SA"/>
        </w:rPr>
      </w:pPr>
      <w:r>
        <w:rPr>
          <w:rFonts w:hint="eastAsia" w:ascii="仿宋" w:hAnsi="仿宋" w:eastAsia="仿宋"/>
          <w:sz w:val="32"/>
          <w:szCs w:val="32"/>
          <w:lang w:eastAsia="zh-CN"/>
        </w:rPr>
        <w:t>文艺路</w:t>
      </w:r>
      <w:r>
        <w:rPr>
          <w:rFonts w:hint="eastAsia" w:ascii="仿宋" w:hAnsi="仿宋" w:eastAsia="仿宋"/>
          <w:sz w:val="32"/>
          <w:szCs w:val="32"/>
        </w:rPr>
        <w:t>街道</w:t>
      </w:r>
      <w:r>
        <w:rPr>
          <w:rFonts w:hint="eastAsia" w:ascii="仿宋" w:hAnsi="仿宋" w:eastAsia="仿宋"/>
          <w:sz w:val="32"/>
          <w:szCs w:val="32"/>
          <w:lang w:eastAsia="zh-CN"/>
        </w:rPr>
        <w:t>在职人员</w:t>
      </w:r>
      <w:r>
        <w:rPr>
          <w:rFonts w:hint="eastAsia" w:ascii="仿宋" w:hAnsi="仿宋" w:eastAsia="仿宋"/>
          <w:sz w:val="32"/>
          <w:szCs w:val="32"/>
        </w:rPr>
        <w:t>编制数50个，其中行政编制13个，事业编制37个。</w:t>
      </w:r>
      <w:r>
        <w:rPr>
          <w:rFonts w:hint="eastAsia" w:ascii="仿宋_GB2312" w:hAnsi="Calibri" w:eastAsia="仿宋_GB2312" w:cs="Times New Roman"/>
          <w:kern w:val="2"/>
          <w:sz w:val="32"/>
          <w:szCs w:val="32"/>
          <w:lang w:val="en-US" w:eastAsia="zh-CN" w:bidi="ar-SA"/>
        </w:rPr>
        <w:t>截止20</w:t>
      </w:r>
      <w:r>
        <w:rPr>
          <w:rFonts w:hint="eastAsia" w:ascii="仿宋_GB2312" w:eastAsia="仿宋_GB2312" w:cs="Times New Roman"/>
          <w:kern w:val="2"/>
          <w:sz w:val="32"/>
          <w:szCs w:val="32"/>
          <w:lang w:val="en-US" w:eastAsia="zh-CN" w:bidi="ar-SA"/>
        </w:rPr>
        <w:t>21</w:t>
      </w:r>
      <w:r>
        <w:rPr>
          <w:rFonts w:hint="eastAsia" w:ascii="仿宋_GB2312" w:hAnsi="Calibri" w:eastAsia="仿宋_GB2312" w:cs="Times New Roman"/>
          <w:kern w:val="2"/>
          <w:sz w:val="32"/>
          <w:szCs w:val="32"/>
          <w:lang w:val="en-US" w:eastAsia="zh-CN" w:bidi="ar-SA"/>
        </w:rPr>
        <w:t>年12月街道在职人员</w:t>
      </w:r>
      <w:r>
        <w:rPr>
          <w:rFonts w:hint="eastAsia" w:ascii="仿宋_GB2312" w:eastAsia="仿宋_GB2312" w:cs="Times New Roman"/>
          <w:kern w:val="2"/>
          <w:sz w:val="32"/>
          <w:szCs w:val="32"/>
          <w:lang w:val="en-US" w:eastAsia="zh-CN" w:bidi="ar-SA"/>
        </w:rPr>
        <w:t>47</w:t>
      </w:r>
      <w:r>
        <w:rPr>
          <w:rFonts w:hint="eastAsia" w:ascii="仿宋_GB2312" w:hAnsi="Calibri" w:eastAsia="仿宋_GB2312" w:cs="Times New Roman"/>
          <w:kern w:val="2"/>
          <w:sz w:val="32"/>
          <w:szCs w:val="32"/>
          <w:lang w:val="en-US" w:eastAsia="zh-CN" w:bidi="ar-SA"/>
        </w:rPr>
        <w:t>人（</w:t>
      </w:r>
      <w:r>
        <w:rPr>
          <w:rFonts w:hint="eastAsia" w:ascii="仿宋" w:hAnsi="仿宋" w:eastAsia="仿宋"/>
          <w:sz w:val="32"/>
          <w:szCs w:val="32"/>
        </w:rPr>
        <w:t>其中行政编制人员1</w:t>
      </w:r>
      <w:r>
        <w:rPr>
          <w:rFonts w:hint="eastAsia" w:ascii="仿宋" w:hAnsi="仿宋" w:eastAsia="仿宋"/>
          <w:sz w:val="32"/>
          <w:szCs w:val="32"/>
          <w:lang w:val="en-US" w:eastAsia="zh-CN"/>
        </w:rPr>
        <w:t>5</w:t>
      </w:r>
      <w:r>
        <w:rPr>
          <w:rFonts w:hint="eastAsia" w:ascii="仿宋" w:hAnsi="仿宋" w:eastAsia="仿宋"/>
          <w:sz w:val="32"/>
          <w:szCs w:val="32"/>
        </w:rPr>
        <w:t>人，事业编制人员</w:t>
      </w:r>
      <w:r>
        <w:rPr>
          <w:rFonts w:hint="eastAsia" w:ascii="仿宋" w:hAnsi="仿宋" w:eastAsia="仿宋"/>
          <w:sz w:val="32"/>
          <w:szCs w:val="32"/>
          <w:lang w:val="en-US" w:eastAsia="zh-CN"/>
        </w:rPr>
        <w:t>32</w:t>
      </w:r>
      <w:r>
        <w:rPr>
          <w:rFonts w:hint="eastAsia" w:ascii="仿宋" w:hAnsi="仿宋" w:eastAsia="仿宋"/>
          <w:sz w:val="32"/>
          <w:szCs w:val="32"/>
        </w:rPr>
        <w:t>人</w:t>
      </w:r>
      <w:r>
        <w:rPr>
          <w:rFonts w:hint="eastAsia" w:ascii="仿宋" w:hAnsi="仿宋" w:eastAsia="仿宋"/>
          <w:sz w:val="32"/>
          <w:szCs w:val="32"/>
          <w:lang w:eastAsia="zh-CN"/>
        </w:rPr>
        <w:t>）</w:t>
      </w:r>
      <w:r>
        <w:rPr>
          <w:rFonts w:hint="eastAsia" w:ascii="仿宋_GB2312" w:hAnsi="Calibri" w:eastAsia="仿宋_GB2312" w:cs="Times New Roman"/>
          <w:kern w:val="2"/>
          <w:sz w:val="32"/>
          <w:szCs w:val="32"/>
          <w:lang w:val="en-US" w:eastAsia="zh-CN" w:bidi="ar-SA"/>
        </w:rPr>
        <w:t>，退休干部4</w:t>
      </w:r>
      <w:r>
        <w:rPr>
          <w:rFonts w:hint="eastAsia" w:ascii="仿宋_GB2312" w:eastAsia="仿宋_GB2312" w:cs="Times New Roman"/>
          <w:kern w:val="2"/>
          <w:sz w:val="32"/>
          <w:szCs w:val="32"/>
          <w:lang w:val="en-US" w:eastAsia="zh-CN" w:bidi="ar-SA"/>
        </w:rPr>
        <w:t>6</w:t>
      </w:r>
      <w:r>
        <w:rPr>
          <w:rFonts w:hint="eastAsia" w:ascii="仿宋_GB2312" w:hAnsi="Calibri" w:eastAsia="仿宋_GB2312" w:cs="Times New Roman"/>
          <w:kern w:val="2"/>
          <w:sz w:val="32"/>
          <w:szCs w:val="32"/>
          <w:lang w:val="en-US" w:eastAsia="zh-CN" w:bidi="ar-SA"/>
        </w:rPr>
        <w:t>人</w:t>
      </w:r>
      <w:r>
        <w:rPr>
          <w:rFonts w:hint="eastAsia" w:ascii="仿宋_GB2312" w:eastAsia="仿宋_GB2312" w:cs="Times New Roman"/>
          <w:kern w:val="2"/>
          <w:sz w:val="32"/>
          <w:szCs w:val="32"/>
          <w:lang w:val="en-US" w:eastAsia="zh-CN" w:bidi="ar-SA"/>
        </w:rPr>
        <w:t>（工资由社保统发）</w:t>
      </w:r>
      <w:r>
        <w:rPr>
          <w:rFonts w:hint="eastAsia" w:ascii="仿宋_GB2312" w:hAnsi="Calibri" w:eastAsia="仿宋_GB2312" w:cs="Times New Roman"/>
          <w:kern w:val="2"/>
          <w:sz w:val="32"/>
          <w:szCs w:val="32"/>
          <w:lang w:val="en-US" w:eastAsia="zh-CN" w:bidi="ar-SA"/>
        </w:rPr>
        <w:t>，政府雇员</w:t>
      </w:r>
      <w:r>
        <w:rPr>
          <w:rFonts w:hint="eastAsia" w:ascii="仿宋_GB2312" w:eastAsia="仿宋_GB2312" w:cs="Times New Roman"/>
          <w:kern w:val="2"/>
          <w:sz w:val="32"/>
          <w:szCs w:val="32"/>
          <w:lang w:val="en-US" w:eastAsia="zh-CN" w:bidi="ar-SA"/>
        </w:rPr>
        <w:t>3</w:t>
      </w:r>
      <w:r>
        <w:rPr>
          <w:rFonts w:hint="eastAsia" w:ascii="仿宋_GB2312" w:hAnsi="Calibri" w:eastAsia="仿宋_GB2312" w:cs="Times New Roman"/>
          <w:kern w:val="2"/>
          <w:sz w:val="32"/>
          <w:szCs w:val="32"/>
          <w:lang w:val="en-US" w:eastAsia="zh-CN" w:bidi="ar-SA"/>
        </w:rPr>
        <w:t>人，转业士官3人</w:t>
      </w:r>
      <w:r>
        <w:rPr>
          <w:rFonts w:hint="eastAsia" w:ascii="仿宋_GB2312" w:eastAsia="仿宋_GB2312" w:cs="Times New Roman"/>
          <w:kern w:val="2"/>
          <w:sz w:val="32"/>
          <w:szCs w:val="32"/>
          <w:lang w:val="en-US" w:eastAsia="zh-CN" w:bidi="ar-SA"/>
        </w:rPr>
        <w:t>，</w:t>
      </w:r>
      <w:r>
        <w:rPr>
          <w:rFonts w:hint="eastAsia" w:ascii="仿宋_GB2312" w:hAnsi="Calibri" w:eastAsia="仿宋_GB2312" w:cs="Times New Roman"/>
          <w:kern w:val="2"/>
          <w:sz w:val="32"/>
          <w:szCs w:val="32"/>
          <w:lang w:val="en-US" w:eastAsia="zh-CN" w:bidi="ar-SA"/>
        </w:rPr>
        <w:t>遗属2人</w:t>
      </w:r>
      <w:r>
        <w:rPr>
          <w:rFonts w:hint="eastAsia" w:ascii="仿宋_GB2312" w:eastAsia="仿宋_GB2312" w:cs="Times New Roman"/>
          <w:kern w:val="2"/>
          <w:sz w:val="32"/>
          <w:szCs w:val="32"/>
          <w:lang w:val="en-US" w:eastAsia="zh-CN" w:bidi="ar-SA"/>
        </w:rPr>
        <w:t>，</w:t>
      </w:r>
      <w:r>
        <w:rPr>
          <w:rFonts w:hint="eastAsia" w:ascii="仿宋_GB2312" w:hAnsi="Calibri" w:eastAsia="仿宋_GB2312" w:cs="Times New Roman"/>
          <w:kern w:val="2"/>
          <w:sz w:val="32"/>
          <w:szCs w:val="32"/>
          <w:lang w:val="en-US" w:eastAsia="zh-CN" w:bidi="ar-SA"/>
        </w:rPr>
        <w:t>司法</w:t>
      </w:r>
      <w:r>
        <w:rPr>
          <w:rFonts w:hint="eastAsia" w:ascii="仿宋_GB2312" w:eastAsia="仿宋_GB2312" w:cs="Times New Roman"/>
          <w:kern w:val="2"/>
          <w:sz w:val="32"/>
          <w:szCs w:val="32"/>
          <w:lang w:val="en-US" w:eastAsia="zh-CN" w:bidi="ar-SA"/>
        </w:rPr>
        <w:t>所</w:t>
      </w:r>
      <w:r>
        <w:rPr>
          <w:rFonts w:hint="eastAsia" w:ascii="仿宋_GB2312" w:hAnsi="Calibri" w:eastAsia="仿宋_GB2312" w:cs="Times New Roman"/>
          <w:kern w:val="2"/>
          <w:sz w:val="32"/>
          <w:szCs w:val="32"/>
          <w:lang w:val="en-US" w:eastAsia="zh-CN" w:bidi="ar-SA"/>
        </w:rPr>
        <w:t>2人（区发工资</w:t>
      </w:r>
      <w:r>
        <w:rPr>
          <w:rFonts w:hint="eastAsia" w:ascii="仿宋_GB2312" w:eastAsia="仿宋_GB2312" w:cs="Times New Roman"/>
          <w:kern w:val="2"/>
          <w:sz w:val="32"/>
          <w:szCs w:val="32"/>
          <w:lang w:val="en-US" w:eastAsia="zh-CN" w:bidi="ar-SA"/>
        </w:rPr>
        <w:t>2</w:t>
      </w:r>
      <w:r>
        <w:rPr>
          <w:rFonts w:hint="eastAsia" w:ascii="仿宋_GB2312" w:hAnsi="Calibri" w:eastAsia="仿宋_GB2312" w:cs="Times New Roman"/>
          <w:kern w:val="2"/>
          <w:sz w:val="32"/>
          <w:szCs w:val="32"/>
          <w:lang w:val="en-US" w:eastAsia="zh-CN" w:bidi="ar-SA"/>
        </w:rPr>
        <w:t>人</w:t>
      </w:r>
      <w:r>
        <w:rPr>
          <w:rFonts w:hint="eastAsia" w:ascii="仿宋_GB2312" w:eastAsia="仿宋_GB2312" w:cs="Times New Roman"/>
          <w:kern w:val="2"/>
          <w:sz w:val="32"/>
          <w:szCs w:val="32"/>
          <w:lang w:val="en-US" w:eastAsia="zh-CN" w:bidi="ar-SA"/>
        </w:rPr>
        <w:t>，其中司法助理员1人</w:t>
      </w:r>
      <w:r>
        <w:rPr>
          <w:rFonts w:hint="eastAsia" w:ascii="仿宋_GB2312" w:hAnsi="Calibri"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社区员额制人员79人，公益性岗位人员116人（其</w:t>
      </w:r>
      <w:r>
        <w:rPr>
          <w:rFonts w:hint="eastAsia" w:ascii="仿宋_GB2312" w:eastAsia="仿宋_GB2312" w:cs="Times New Roman"/>
          <w:color w:val="auto"/>
          <w:kern w:val="2"/>
          <w:sz w:val="32"/>
          <w:szCs w:val="32"/>
          <w:lang w:val="en-US" w:eastAsia="zh-CN" w:bidi="ar-SA"/>
        </w:rPr>
        <w:t>中：</w:t>
      </w:r>
      <w:r>
        <w:rPr>
          <w:rFonts w:hint="eastAsia" w:ascii="仿宋_GB2312" w:hAnsi="Calibri" w:eastAsia="仿宋_GB2312" w:cs="Times New Roman"/>
          <w:color w:val="auto"/>
          <w:kern w:val="2"/>
          <w:sz w:val="32"/>
          <w:szCs w:val="32"/>
          <w:lang w:val="en-US" w:eastAsia="zh-CN" w:bidi="ar-SA"/>
        </w:rPr>
        <w:t>城管协管员</w:t>
      </w:r>
      <w:r>
        <w:rPr>
          <w:rFonts w:hint="eastAsia" w:ascii="仿宋_GB2312" w:eastAsia="仿宋_GB2312" w:cs="Times New Roman"/>
          <w:color w:val="auto"/>
          <w:kern w:val="2"/>
          <w:sz w:val="32"/>
          <w:szCs w:val="32"/>
          <w:lang w:val="en-US" w:eastAsia="zh-CN" w:bidi="ar-SA"/>
        </w:rPr>
        <w:t>38</w:t>
      </w:r>
      <w:r>
        <w:rPr>
          <w:rFonts w:hint="eastAsia" w:ascii="仿宋_GB2312" w:hAnsi="Calibri" w:eastAsia="仿宋_GB2312" w:cs="Times New Roman"/>
          <w:color w:val="auto"/>
          <w:kern w:val="2"/>
          <w:sz w:val="32"/>
          <w:szCs w:val="32"/>
          <w:lang w:val="en-US" w:eastAsia="zh-CN" w:bidi="ar-SA"/>
        </w:rPr>
        <w:t>人，流动人口协管员</w:t>
      </w:r>
      <w:r>
        <w:rPr>
          <w:rFonts w:hint="eastAsia" w:ascii="仿宋_GB2312" w:eastAsia="仿宋_GB2312" w:cs="Times New Roman"/>
          <w:color w:val="auto"/>
          <w:kern w:val="2"/>
          <w:sz w:val="32"/>
          <w:szCs w:val="32"/>
          <w:lang w:val="en-US" w:eastAsia="zh-CN" w:bidi="ar-SA"/>
        </w:rPr>
        <w:t>30</w:t>
      </w:r>
      <w:r>
        <w:rPr>
          <w:rFonts w:hint="eastAsia" w:ascii="仿宋_GB2312" w:hAnsi="Calibri" w:eastAsia="仿宋_GB2312" w:cs="Times New Roman"/>
          <w:color w:val="auto"/>
          <w:kern w:val="2"/>
          <w:sz w:val="32"/>
          <w:szCs w:val="32"/>
          <w:lang w:val="en-US" w:eastAsia="zh-CN" w:bidi="ar-SA"/>
        </w:rPr>
        <w:t>人，治安巡防队员4</w:t>
      </w:r>
      <w:r>
        <w:rPr>
          <w:rFonts w:hint="eastAsia" w:ascii="仿宋_GB2312" w:eastAsia="仿宋_GB2312" w:cs="Times New Roman"/>
          <w:color w:val="auto"/>
          <w:kern w:val="2"/>
          <w:sz w:val="32"/>
          <w:szCs w:val="32"/>
          <w:lang w:val="en-US" w:eastAsia="zh-CN" w:bidi="ar-SA"/>
        </w:rPr>
        <w:t>1</w:t>
      </w:r>
      <w:r>
        <w:rPr>
          <w:rFonts w:hint="eastAsia" w:ascii="仿宋_GB2312" w:hAnsi="Calibri" w:eastAsia="仿宋_GB2312" w:cs="Times New Roman"/>
          <w:color w:val="auto"/>
          <w:kern w:val="2"/>
          <w:sz w:val="32"/>
          <w:szCs w:val="32"/>
          <w:lang w:val="en-US" w:eastAsia="zh-CN" w:bidi="ar-SA"/>
        </w:rPr>
        <w:t>人，特勤队员</w:t>
      </w:r>
      <w:r>
        <w:rPr>
          <w:rFonts w:hint="eastAsia" w:ascii="仿宋_GB2312" w:eastAsia="仿宋_GB2312" w:cs="Times New Roman"/>
          <w:color w:val="auto"/>
          <w:kern w:val="2"/>
          <w:sz w:val="32"/>
          <w:szCs w:val="32"/>
          <w:lang w:val="en-US" w:eastAsia="zh-CN" w:bidi="ar-SA"/>
        </w:rPr>
        <w:t>5</w:t>
      </w:r>
      <w:r>
        <w:rPr>
          <w:rFonts w:hint="eastAsia" w:ascii="仿宋_GB2312" w:hAnsi="Calibri" w:eastAsia="仿宋_GB2312" w:cs="Times New Roman"/>
          <w:color w:val="auto"/>
          <w:kern w:val="2"/>
          <w:sz w:val="32"/>
          <w:szCs w:val="32"/>
          <w:lang w:val="en-US" w:eastAsia="zh-CN" w:bidi="ar-SA"/>
        </w:rPr>
        <w:t>人</w:t>
      </w:r>
      <w:r>
        <w:rPr>
          <w:rFonts w:hint="eastAsia" w:ascii="仿宋_GB2312" w:eastAsia="仿宋_GB2312" w:cs="Times New Roman"/>
          <w:color w:val="auto"/>
          <w:kern w:val="2"/>
          <w:sz w:val="32"/>
          <w:szCs w:val="32"/>
          <w:lang w:val="en-US" w:eastAsia="zh-CN" w:bidi="ar-SA"/>
        </w:rPr>
        <w:t>，</w:t>
      </w:r>
      <w:r>
        <w:rPr>
          <w:rFonts w:hint="eastAsia" w:ascii="仿宋_GB2312" w:hAnsi="Calibri" w:eastAsia="仿宋_GB2312" w:cs="Times New Roman"/>
          <w:color w:val="auto"/>
          <w:kern w:val="2"/>
          <w:sz w:val="32"/>
          <w:szCs w:val="32"/>
          <w:lang w:val="en-US" w:eastAsia="zh-CN" w:bidi="ar-SA"/>
        </w:rPr>
        <w:t>工会</w:t>
      </w:r>
      <w:r>
        <w:rPr>
          <w:rFonts w:hint="eastAsia" w:ascii="仿宋_GB2312" w:eastAsia="仿宋_GB2312" w:cs="Times New Roman"/>
          <w:color w:val="auto"/>
          <w:kern w:val="2"/>
          <w:sz w:val="32"/>
          <w:szCs w:val="32"/>
          <w:lang w:val="en-US" w:eastAsia="zh-CN" w:bidi="ar-SA"/>
        </w:rPr>
        <w:t>人员</w:t>
      </w:r>
      <w:r>
        <w:rPr>
          <w:rFonts w:hint="eastAsia" w:ascii="仿宋_GB2312" w:hAnsi="Calibri" w:eastAsia="仿宋_GB2312" w:cs="Times New Roman"/>
          <w:color w:val="auto"/>
          <w:kern w:val="2"/>
          <w:sz w:val="32"/>
          <w:szCs w:val="32"/>
          <w:lang w:val="en-US" w:eastAsia="zh-CN" w:bidi="ar-SA"/>
        </w:rPr>
        <w:t>1人</w:t>
      </w:r>
      <w:r>
        <w:rPr>
          <w:rFonts w:hint="eastAsia" w:ascii="仿宋_GB2312" w:eastAsia="仿宋_GB2312" w:cs="Times New Roman"/>
          <w:color w:val="auto"/>
          <w:kern w:val="2"/>
          <w:sz w:val="32"/>
          <w:szCs w:val="32"/>
          <w:lang w:val="en-US" w:eastAsia="zh-CN" w:bidi="ar-SA"/>
        </w:rPr>
        <w:t>，文化站长1人），</w:t>
      </w:r>
      <w:r>
        <w:rPr>
          <w:rFonts w:hint="eastAsia" w:ascii="仿宋" w:hAnsi="仿宋" w:eastAsia="仿宋"/>
          <w:color w:val="222222"/>
          <w:sz w:val="32"/>
          <w:szCs w:val="32"/>
          <w:lang w:val="en-US" w:eastAsia="zh-CN"/>
        </w:rPr>
        <w:t>环卫人员126人</w:t>
      </w:r>
      <w:r>
        <w:rPr>
          <w:rFonts w:hint="eastAsia" w:ascii="仿宋_GB2312" w:eastAsia="仿宋_GB2312" w:cs="Times New Roman"/>
          <w:color w:val="auto"/>
          <w:kern w:val="2"/>
          <w:sz w:val="32"/>
          <w:szCs w:val="32"/>
          <w:lang w:val="en-US" w:eastAsia="zh-CN" w:bidi="ar-SA"/>
        </w:rPr>
        <w:t>。</w:t>
      </w:r>
    </w:p>
    <w:p>
      <w:pPr>
        <w:numPr>
          <w:ilvl w:val="0"/>
          <w:numId w:val="0"/>
        </w:num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（1）贯彻执行国家法律、法规、规章和市、区人民政府的决定、命令、指示，完成市、区人民政府部署的各项任务；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（2）负责居民区、街巷的环境卫生和绿化美化的管理工作，组织辖区单位和居民开展爱国卫生运动，落实门前五包责任制；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（3）组织和监督对违法建筑、违法占用道路、无照经营以及违反市容环境卫生、绿化管理规定行为的查处工作；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（4）配合市、区环境保护部门监督环境污染项目的治理；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（5）负责本辖区的拆迁和安置工作。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（6）协同建设主管部门监督施工单位依法施工，防治施工扬尘、扰民；配合建设单位、施工单位做好居民工作，维护施工秩序；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（7）对居住小区的物业管理进行指导和监督检查；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（8）组织辖区单位和居民开展多种形式的社会主义精神文明创建活动；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（9）制定本辖区社会治安综合治理规划，并组织落实；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（10）负责本辖区外来人口的综合管理和地区交通安全工作；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（11）负责计划生育、统计、红十字会、信访、人民调解工作；协调有关部门做好劳动就业工作；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（12）负责本辖区拥军优属、民兵预备役、征兵、人民防空等工作；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（13）维护老年人、妇女、未成年人和残疾人的合法权益；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（14）制定社区建设、社区服务发展规划，发展社区服务设施，合理配置社区服务资源；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（15）组建社区服务志愿者队伍，动员本辖区单位和居民兴办社区服务事业；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（16）兴办社会福利事业，做好社会救助、社会保险等社会保障工作；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(17）指导社区居委会工作，及时向上级政府反映居民的意见和要求；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　  (18）对居民进行法制和社会公德教育，组织居民参与社区环境整治等社会公益活动；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微软雅黑" w:eastAsia="仿宋_GB2312" w:cs="仿宋_GB2312"/>
          <w:kern w:val="2"/>
          <w:sz w:val="32"/>
          <w:szCs w:val="32"/>
          <w:lang w:val="en-US" w:eastAsia="zh-CN" w:bidi="ar-SA"/>
        </w:rPr>
      </w:pPr>
      <w:r>
        <w:rPr>
          <w:rFonts w:hint="eastAsia" w:ascii="仿宋_GB2312" w:hAnsi="微软雅黑" w:eastAsia="仿宋_GB2312" w:cs="仿宋_GB2312"/>
          <w:kern w:val="2"/>
          <w:sz w:val="32"/>
          <w:szCs w:val="32"/>
          <w:lang w:val="en-US" w:eastAsia="zh-CN" w:bidi="ar-SA"/>
        </w:rPr>
        <w:t>(19）组织开展群众文化、体育活动和社区教育、卫生工作，普及科学常识；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Times New Roman" w:hAnsi="Times New Roman" w:eastAsia="楷体_GB2312" w:cs="Times New Roman"/>
          <w:b/>
          <w:sz w:val="32"/>
          <w:szCs w:val="32"/>
          <w:lang w:eastAsia="zh-CN"/>
        </w:rPr>
      </w:pPr>
      <w:r>
        <w:rPr>
          <w:rFonts w:hint="eastAsia" w:ascii="仿宋_GB2312" w:hAnsi="微软雅黑" w:eastAsia="仿宋_GB2312" w:cs="仿宋_GB2312"/>
          <w:kern w:val="2"/>
          <w:sz w:val="32"/>
          <w:szCs w:val="32"/>
          <w:lang w:val="en-US" w:eastAsia="zh-CN" w:bidi="ar-SA"/>
        </w:rPr>
        <w:t>(20）承办区政府交办的其他事项。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w:t>
      </w:r>
      <w:r>
        <w:rPr>
          <w:rFonts w:hint="default" w:ascii="Times New Roman" w:hAnsi="Times New Roman" w:eastAsia="楷体_GB2312" w:cs="Times New Roman"/>
          <w:b/>
          <w:sz w:val="32"/>
          <w:szCs w:val="32"/>
          <w:lang w:eastAsia="zh-CN"/>
        </w:rPr>
        <w:t>整体支出规模、使用方向和主要内容、涉及范围等</w:t>
      </w:r>
    </w:p>
    <w:p>
      <w:pPr>
        <w:snapToGrid w:val="0"/>
        <w:spacing w:line="520" w:lineRule="exact"/>
        <w:ind w:firstLine="643" w:firstLineChars="200"/>
        <w:rPr>
          <w:rFonts w:hint="default"/>
          <w:lang w:eastAsia="zh-CN"/>
        </w:rPr>
      </w:pPr>
      <w:r>
        <w:rPr>
          <w:rFonts w:hint="eastAsia" w:ascii="仿宋_GB2312" w:hAnsi="仿宋" w:eastAsia="仿宋_GB2312"/>
          <w:b/>
          <w:sz w:val="32"/>
          <w:szCs w:val="32"/>
        </w:rPr>
        <w:t>1</w:t>
      </w:r>
      <w:r>
        <w:rPr>
          <w:rFonts w:hint="eastAsia" w:ascii="仿宋_GB2312" w:hAnsi="仿宋" w:eastAsia="仿宋_GB2312"/>
          <w:b/>
          <w:sz w:val="32"/>
          <w:szCs w:val="32"/>
          <w:lang w:eastAsia="zh-CN"/>
        </w:rPr>
        <w:t>、</w:t>
      </w:r>
      <w:r>
        <w:rPr>
          <w:rFonts w:hint="eastAsia" w:ascii="仿宋_GB2312" w:hAnsi="仿宋" w:eastAsia="仿宋_GB2312"/>
          <w:b/>
          <w:sz w:val="32"/>
          <w:szCs w:val="32"/>
        </w:rPr>
        <w:t>收入支出与预算对比分析</w:t>
      </w:r>
    </w:p>
    <w:p>
      <w:pPr>
        <w:widowControl/>
        <w:shd w:val="clear" w:color="auto" w:fill="FFFFFF"/>
        <w:spacing w:line="580" w:lineRule="atLeast"/>
        <w:ind w:firstLine="643"/>
        <w:jc w:val="left"/>
        <w:rPr>
          <w:rFonts w:hint="eastAsia" w:ascii="华文仿宋" w:hAnsi="华文仿宋" w:eastAsia="仿宋"/>
          <w:sz w:val="30"/>
          <w:szCs w:val="30"/>
          <w:lang w:eastAsia="zh-CN"/>
        </w:rPr>
      </w:pPr>
      <w:r>
        <w:rPr>
          <w:rFonts w:hint="eastAsia" w:ascii="仿宋" w:hAnsi="仿宋" w:eastAsia="仿宋" w:cs="楷体"/>
          <w:b w:val="0"/>
          <w:bCs w:val="0"/>
          <w:sz w:val="32"/>
          <w:szCs w:val="32"/>
          <w:lang w:eastAsia="zh-CN"/>
        </w:rPr>
        <w:t>（</w:t>
      </w:r>
      <w:r>
        <w:rPr>
          <w:rFonts w:hint="eastAsia" w:ascii="仿宋" w:hAnsi="仿宋" w:eastAsia="仿宋" w:cs="楷体"/>
          <w:b w:val="0"/>
          <w:bCs w:val="0"/>
          <w:sz w:val="32"/>
          <w:szCs w:val="32"/>
          <w:lang w:val="en-US" w:eastAsia="zh-CN"/>
        </w:rPr>
        <w:t>1</w:t>
      </w:r>
      <w:r>
        <w:rPr>
          <w:rFonts w:hint="eastAsia" w:ascii="仿宋" w:hAnsi="仿宋" w:eastAsia="仿宋" w:cs="楷体"/>
          <w:b w:val="0"/>
          <w:bCs w:val="0"/>
          <w:sz w:val="32"/>
          <w:szCs w:val="32"/>
          <w:lang w:eastAsia="zh-CN"/>
        </w:rPr>
        <w:t>）</w:t>
      </w:r>
      <w:r>
        <w:rPr>
          <w:rFonts w:hint="eastAsia" w:ascii="仿宋" w:hAnsi="仿宋" w:eastAsia="仿宋" w:cs="楷体"/>
          <w:b w:val="0"/>
          <w:bCs w:val="0"/>
          <w:sz w:val="32"/>
          <w:szCs w:val="32"/>
        </w:rPr>
        <w:t>预、决算差异</w:t>
      </w:r>
      <w:r>
        <w:rPr>
          <w:rFonts w:hint="eastAsia" w:ascii="仿宋" w:hAnsi="仿宋" w:eastAsia="仿宋" w:cs="楷体"/>
          <w:b w:val="0"/>
          <w:bCs w:val="0"/>
          <w:sz w:val="32"/>
          <w:szCs w:val="32"/>
          <w:lang w:eastAsia="zh-CN"/>
        </w:rPr>
        <w:t>情况</w:t>
      </w:r>
    </w:p>
    <w:p>
      <w:pPr>
        <w:spacing w:line="560" w:lineRule="exact"/>
        <w:ind w:firstLine="720" w:firstLineChars="225"/>
        <w:rPr>
          <w:rFonts w:hint="eastAsia" w:ascii="仿宋_GB2312" w:hAnsi="华文中宋" w:eastAsia="仿宋_GB2312"/>
          <w:sz w:val="32"/>
          <w:szCs w:val="32"/>
        </w:rPr>
      </w:pPr>
      <w:r>
        <w:rPr>
          <w:rFonts w:hint="eastAsia" w:ascii="仿宋_GB2312" w:hAnsi="华文中宋" w:eastAsia="仿宋_GB2312"/>
          <w:sz w:val="32"/>
          <w:szCs w:val="32"/>
          <w:lang w:eastAsia="zh-CN"/>
        </w:rPr>
        <w:t>20</w:t>
      </w:r>
      <w:r>
        <w:rPr>
          <w:rFonts w:hint="eastAsia" w:ascii="仿宋_GB2312" w:hAnsi="华文中宋" w:eastAsia="仿宋_GB2312"/>
          <w:sz w:val="32"/>
          <w:szCs w:val="32"/>
          <w:lang w:val="en-US" w:eastAsia="zh-CN"/>
        </w:rPr>
        <w:t>21</w:t>
      </w:r>
      <w:r>
        <w:rPr>
          <w:rFonts w:hint="eastAsia" w:ascii="仿宋_GB2312" w:hAnsi="华文中宋" w:eastAsia="仿宋_GB2312"/>
          <w:sz w:val="32"/>
          <w:szCs w:val="32"/>
        </w:rPr>
        <w:t>年收入预算为</w:t>
      </w:r>
      <w:r>
        <w:rPr>
          <w:rFonts w:hint="eastAsia" w:ascii="仿宋_GB2312" w:hAnsi="华文中宋" w:eastAsia="仿宋_GB2312"/>
          <w:sz w:val="32"/>
          <w:szCs w:val="32"/>
          <w:lang w:val="en-US" w:eastAsia="zh-CN"/>
        </w:rPr>
        <w:t>4825.25</w:t>
      </w:r>
      <w:r>
        <w:rPr>
          <w:rFonts w:hint="eastAsia" w:ascii="仿宋_GB2312" w:hAnsi="华文中宋" w:eastAsia="仿宋_GB2312"/>
          <w:sz w:val="32"/>
          <w:szCs w:val="32"/>
        </w:rPr>
        <w:t>万元，全部为财政拨款收入；</w:t>
      </w:r>
      <w:r>
        <w:rPr>
          <w:rFonts w:hint="eastAsia" w:ascii="仿宋_GB2312" w:hAnsi="华文中宋" w:eastAsia="仿宋_GB2312"/>
          <w:sz w:val="32"/>
          <w:szCs w:val="32"/>
          <w:lang w:eastAsia="zh-CN"/>
        </w:rPr>
        <w:t>20</w:t>
      </w:r>
      <w:r>
        <w:rPr>
          <w:rFonts w:hint="eastAsia" w:ascii="仿宋_GB2312" w:hAnsi="华文中宋" w:eastAsia="仿宋_GB2312"/>
          <w:sz w:val="32"/>
          <w:szCs w:val="32"/>
          <w:lang w:val="en-US" w:eastAsia="zh-CN"/>
        </w:rPr>
        <w:t>21</w:t>
      </w:r>
      <w:r>
        <w:rPr>
          <w:rFonts w:hint="eastAsia" w:ascii="仿宋_GB2312" w:hAnsi="华文中宋" w:eastAsia="仿宋_GB2312"/>
          <w:sz w:val="32"/>
          <w:szCs w:val="32"/>
        </w:rPr>
        <w:t>年全年决算收入合计为</w:t>
      </w:r>
      <w:r>
        <w:rPr>
          <w:rFonts w:hint="eastAsia" w:ascii="仿宋_GB2312" w:hAnsi="华文中宋" w:eastAsia="仿宋_GB2312"/>
          <w:sz w:val="32"/>
          <w:szCs w:val="32"/>
          <w:lang w:val="en-US" w:eastAsia="zh-CN"/>
        </w:rPr>
        <w:t>11185.78</w:t>
      </w:r>
      <w:r>
        <w:rPr>
          <w:rFonts w:hint="eastAsia" w:ascii="仿宋_GB2312" w:hAnsi="华文中宋" w:eastAsia="仿宋_GB2312"/>
          <w:sz w:val="32"/>
          <w:szCs w:val="32"/>
        </w:rPr>
        <w:t>万元，其中财政拨款收入总决算为</w:t>
      </w:r>
      <w:r>
        <w:rPr>
          <w:rFonts w:hint="eastAsia" w:ascii="仿宋_GB2312" w:hAnsi="华文中宋" w:eastAsia="仿宋_GB2312"/>
          <w:sz w:val="32"/>
          <w:szCs w:val="32"/>
          <w:lang w:val="en-US" w:eastAsia="zh-CN"/>
        </w:rPr>
        <w:t>10303.99</w:t>
      </w:r>
      <w:r>
        <w:rPr>
          <w:rFonts w:hint="eastAsia" w:ascii="仿宋_GB2312" w:hAnsi="华文中宋" w:eastAsia="仿宋_GB2312"/>
          <w:sz w:val="32"/>
          <w:szCs w:val="32"/>
        </w:rPr>
        <w:t>万元，其他收入</w:t>
      </w:r>
      <w:r>
        <w:rPr>
          <w:rFonts w:hint="eastAsia" w:ascii="仿宋_GB2312" w:hAnsi="华文中宋" w:eastAsia="仿宋_GB2312"/>
          <w:sz w:val="32"/>
          <w:szCs w:val="32"/>
          <w:lang w:val="en-US" w:eastAsia="zh-CN"/>
        </w:rPr>
        <w:t>881.79</w:t>
      </w:r>
      <w:r>
        <w:rPr>
          <w:rFonts w:hint="eastAsia" w:ascii="仿宋_GB2312" w:hAnsi="华文中宋" w:eastAsia="仿宋_GB2312"/>
          <w:sz w:val="32"/>
          <w:szCs w:val="32"/>
        </w:rPr>
        <w:t>万元。总收入决算比预算增长</w:t>
      </w:r>
      <w:r>
        <w:rPr>
          <w:rFonts w:hint="eastAsia" w:ascii="仿宋_GB2312" w:hAnsi="华文中宋" w:eastAsia="仿宋_GB2312"/>
          <w:sz w:val="32"/>
          <w:szCs w:val="32"/>
          <w:lang w:val="en-US" w:eastAsia="zh-CN"/>
        </w:rPr>
        <w:t>131.82</w:t>
      </w:r>
      <w:r>
        <w:rPr>
          <w:rFonts w:hint="eastAsia" w:ascii="仿宋_GB2312" w:hAnsi="华文中宋" w:eastAsia="仿宋_GB2312"/>
          <w:sz w:val="32"/>
          <w:szCs w:val="32"/>
        </w:rPr>
        <w:t>%，财政拨款收入决算比预算增长</w:t>
      </w:r>
      <w:r>
        <w:rPr>
          <w:rFonts w:hint="eastAsia" w:ascii="仿宋_GB2312" w:hAnsi="华文中宋" w:eastAsia="仿宋_GB2312"/>
          <w:sz w:val="32"/>
          <w:szCs w:val="32"/>
          <w:lang w:val="en-US" w:eastAsia="zh-CN"/>
        </w:rPr>
        <w:t>113.54</w:t>
      </w:r>
      <w:r>
        <w:rPr>
          <w:rFonts w:hint="eastAsia" w:ascii="仿宋_GB2312" w:hAnsi="华文中宋" w:eastAsia="仿宋_GB2312"/>
          <w:sz w:val="32"/>
          <w:szCs w:val="32"/>
        </w:rPr>
        <w:t>%。</w:t>
      </w:r>
    </w:p>
    <w:p>
      <w:pPr>
        <w:spacing w:line="560" w:lineRule="exact"/>
        <w:ind w:firstLine="720" w:firstLineChars="225"/>
        <w:rPr>
          <w:rFonts w:hint="eastAsia" w:ascii="仿宋_GB2312" w:hAnsi="华文中宋" w:eastAsia="仿宋_GB2312"/>
          <w:sz w:val="32"/>
          <w:szCs w:val="32"/>
        </w:rPr>
      </w:pPr>
      <w:r>
        <w:rPr>
          <w:rFonts w:hint="eastAsia" w:ascii="仿宋_GB2312" w:hAnsi="华文中宋" w:eastAsia="仿宋_GB2312"/>
          <w:color w:val="auto"/>
          <w:sz w:val="32"/>
          <w:szCs w:val="32"/>
          <w:lang w:eastAsia="zh-CN"/>
        </w:rPr>
        <w:t>20</w:t>
      </w:r>
      <w:r>
        <w:rPr>
          <w:rFonts w:hint="eastAsia" w:ascii="仿宋_GB2312" w:hAnsi="华文中宋" w:eastAsia="仿宋_GB2312"/>
          <w:color w:val="auto"/>
          <w:sz w:val="32"/>
          <w:szCs w:val="32"/>
          <w:lang w:val="en-US" w:eastAsia="zh-CN"/>
        </w:rPr>
        <w:t>21</w:t>
      </w:r>
      <w:r>
        <w:rPr>
          <w:rFonts w:hint="eastAsia" w:ascii="仿宋_GB2312" w:hAnsi="华文中宋" w:eastAsia="仿宋_GB2312"/>
          <w:color w:val="auto"/>
          <w:sz w:val="32"/>
          <w:szCs w:val="32"/>
        </w:rPr>
        <w:t>年预算支出为</w:t>
      </w:r>
      <w:r>
        <w:rPr>
          <w:rFonts w:hint="eastAsia" w:ascii="仿宋_GB2312" w:hAnsi="华文中宋" w:eastAsia="仿宋_GB2312"/>
          <w:color w:val="auto"/>
          <w:sz w:val="32"/>
          <w:szCs w:val="32"/>
          <w:lang w:val="en-US" w:eastAsia="zh-CN"/>
        </w:rPr>
        <w:t>4825.25</w:t>
      </w:r>
      <w:r>
        <w:rPr>
          <w:rFonts w:hint="eastAsia" w:ascii="仿宋_GB2312" w:hAnsi="华文中宋" w:eastAsia="仿宋_GB2312"/>
          <w:sz w:val="32"/>
          <w:szCs w:val="32"/>
        </w:rPr>
        <w:t>万元，其中预算基本支出为</w:t>
      </w:r>
      <w:r>
        <w:rPr>
          <w:rFonts w:hint="eastAsia" w:ascii="仿宋_GB2312" w:hAnsi="华文中宋" w:eastAsia="仿宋_GB2312"/>
          <w:sz w:val="32"/>
          <w:szCs w:val="32"/>
          <w:lang w:val="en-US" w:eastAsia="zh-CN"/>
        </w:rPr>
        <w:t>3265.04</w:t>
      </w:r>
      <w:r>
        <w:rPr>
          <w:rFonts w:hint="eastAsia" w:ascii="仿宋_GB2312" w:hAnsi="华文中宋" w:eastAsia="仿宋_GB2312"/>
          <w:sz w:val="32"/>
          <w:szCs w:val="32"/>
        </w:rPr>
        <w:t>万元，预算项目支出</w:t>
      </w:r>
      <w:r>
        <w:rPr>
          <w:rFonts w:hint="eastAsia" w:ascii="仿宋_GB2312" w:hAnsi="华文中宋" w:eastAsia="仿宋_GB2312"/>
          <w:sz w:val="32"/>
          <w:szCs w:val="32"/>
          <w:lang w:val="en-US" w:eastAsia="zh-CN"/>
        </w:rPr>
        <w:t>1560.21</w:t>
      </w:r>
      <w:r>
        <w:rPr>
          <w:rFonts w:hint="eastAsia" w:ascii="仿宋_GB2312" w:hAnsi="华文中宋" w:eastAsia="仿宋_GB2312"/>
          <w:sz w:val="32"/>
          <w:szCs w:val="32"/>
        </w:rPr>
        <w:t>万元；</w:t>
      </w:r>
      <w:r>
        <w:rPr>
          <w:rFonts w:hint="eastAsia" w:ascii="仿宋_GB2312" w:hAnsi="华文中宋" w:eastAsia="仿宋_GB2312"/>
          <w:sz w:val="32"/>
          <w:szCs w:val="32"/>
          <w:lang w:eastAsia="zh-CN"/>
        </w:rPr>
        <w:t>20</w:t>
      </w:r>
      <w:r>
        <w:rPr>
          <w:rFonts w:hint="eastAsia" w:ascii="仿宋_GB2312" w:hAnsi="华文中宋" w:eastAsia="仿宋_GB2312"/>
          <w:sz w:val="32"/>
          <w:szCs w:val="32"/>
          <w:lang w:val="en-US" w:eastAsia="zh-CN"/>
        </w:rPr>
        <w:t>21</w:t>
      </w:r>
      <w:r>
        <w:rPr>
          <w:rFonts w:hint="eastAsia" w:ascii="仿宋_GB2312" w:hAnsi="华文中宋" w:eastAsia="仿宋_GB2312"/>
          <w:sz w:val="32"/>
          <w:szCs w:val="32"/>
        </w:rPr>
        <w:t>年决算支出</w:t>
      </w:r>
      <w:r>
        <w:rPr>
          <w:rFonts w:hint="eastAsia" w:ascii="仿宋_GB2312" w:hAnsi="华文中宋" w:eastAsia="仿宋_GB2312"/>
          <w:sz w:val="32"/>
          <w:szCs w:val="32"/>
          <w:lang w:val="en-US" w:eastAsia="zh-CN"/>
        </w:rPr>
        <w:t>12383.2</w:t>
      </w:r>
      <w:r>
        <w:rPr>
          <w:rFonts w:hint="eastAsia" w:ascii="仿宋_GB2312" w:hAnsi="华文中宋" w:eastAsia="仿宋_GB2312"/>
          <w:sz w:val="32"/>
          <w:szCs w:val="32"/>
        </w:rPr>
        <w:t>万元，其中决算基本支出</w:t>
      </w:r>
      <w:r>
        <w:rPr>
          <w:rFonts w:hint="eastAsia" w:ascii="仿宋_GB2312" w:hAnsi="华文中宋" w:eastAsia="仿宋_GB2312"/>
          <w:sz w:val="32"/>
          <w:szCs w:val="32"/>
          <w:lang w:val="en-US" w:eastAsia="zh-CN"/>
        </w:rPr>
        <w:t>3311.3</w:t>
      </w:r>
      <w:r>
        <w:rPr>
          <w:rFonts w:hint="eastAsia" w:ascii="仿宋_GB2312" w:hAnsi="华文中宋" w:eastAsia="仿宋_GB2312"/>
          <w:sz w:val="32"/>
          <w:szCs w:val="32"/>
        </w:rPr>
        <w:t>万元，决算项目支出</w:t>
      </w:r>
      <w:r>
        <w:rPr>
          <w:rFonts w:hint="eastAsia" w:ascii="仿宋_GB2312" w:hAnsi="华文中宋" w:eastAsia="仿宋_GB2312"/>
          <w:sz w:val="32"/>
          <w:szCs w:val="32"/>
          <w:lang w:val="en-US" w:eastAsia="zh-CN"/>
        </w:rPr>
        <w:t>9071.9</w:t>
      </w:r>
      <w:r>
        <w:rPr>
          <w:rFonts w:hint="eastAsia" w:ascii="仿宋_GB2312" w:hAnsi="华文中宋" w:eastAsia="仿宋_GB2312"/>
          <w:sz w:val="32"/>
          <w:szCs w:val="32"/>
        </w:rPr>
        <w:t>万元。总支出决算比预算增长</w:t>
      </w:r>
      <w:r>
        <w:rPr>
          <w:rFonts w:hint="eastAsia" w:ascii="仿宋_GB2312" w:hAnsi="华文中宋" w:eastAsia="仿宋_GB2312"/>
          <w:sz w:val="32"/>
          <w:szCs w:val="32"/>
          <w:lang w:val="en-US" w:eastAsia="zh-CN"/>
        </w:rPr>
        <w:t>156.63</w:t>
      </w:r>
      <w:r>
        <w:rPr>
          <w:rFonts w:hint="eastAsia" w:ascii="仿宋_GB2312" w:hAnsi="华文中宋" w:eastAsia="仿宋_GB2312"/>
          <w:sz w:val="32"/>
          <w:szCs w:val="32"/>
        </w:rPr>
        <w:t>%，基本支出决算比预算增长</w:t>
      </w:r>
      <w:r>
        <w:rPr>
          <w:rFonts w:hint="eastAsia" w:ascii="仿宋_GB2312" w:hAnsi="华文中宋" w:eastAsia="仿宋_GB2312"/>
          <w:sz w:val="32"/>
          <w:szCs w:val="32"/>
          <w:lang w:val="en-US" w:eastAsia="zh-CN"/>
        </w:rPr>
        <w:t>1.42</w:t>
      </w:r>
      <w:r>
        <w:rPr>
          <w:rFonts w:hint="eastAsia" w:ascii="仿宋_GB2312" w:hAnsi="华文中宋" w:eastAsia="仿宋_GB2312"/>
          <w:sz w:val="32"/>
          <w:szCs w:val="32"/>
        </w:rPr>
        <w:t>%，项目支出决算比预算增长</w:t>
      </w:r>
      <w:r>
        <w:rPr>
          <w:rFonts w:hint="eastAsia" w:ascii="仿宋_GB2312" w:hAnsi="华文中宋" w:eastAsia="仿宋_GB2312"/>
          <w:sz w:val="32"/>
          <w:szCs w:val="32"/>
          <w:lang w:val="en-US" w:eastAsia="zh-CN"/>
        </w:rPr>
        <w:t>481.45</w:t>
      </w:r>
      <w:r>
        <w:rPr>
          <w:rFonts w:hint="eastAsia" w:ascii="仿宋_GB2312" w:hAnsi="华文中宋" w:eastAsia="仿宋_GB2312"/>
          <w:sz w:val="32"/>
          <w:szCs w:val="32"/>
        </w:rPr>
        <w:t>%。</w:t>
      </w:r>
    </w:p>
    <w:p>
      <w:pPr>
        <w:numPr>
          <w:ilvl w:val="0"/>
          <w:numId w:val="0"/>
        </w:numPr>
        <w:snapToGrid w:val="0"/>
        <w:spacing w:line="520" w:lineRule="exact"/>
        <w:ind w:firstLine="640" w:firstLineChars="200"/>
        <w:rPr>
          <w:rFonts w:hint="eastAsia" w:ascii="仿宋" w:hAnsi="仿宋" w:eastAsia="仿宋" w:cs="楷体"/>
          <w:b w:val="0"/>
          <w:bCs w:val="0"/>
          <w:sz w:val="32"/>
          <w:szCs w:val="32"/>
        </w:rPr>
      </w:pPr>
      <w:r>
        <w:rPr>
          <w:rFonts w:hint="eastAsia" w:ascii="仿宋" w:hAnsi="仿宋" w:eastAsia="仿宋" w:cs="楷体"/>
          <w:b w:val="0"/>
          <w:bCs w:val="0"/>
          <w:sz w:val="32"/>
          <w:szCs w:val="32"/>
          <w:lang w:eastAsia="zh-CN"/>
        </w:rPr>
        <w:t>（</w:t>
      </w:r>
      <w:r>
        <w:rPr>
          <w:rFonts w:hint="eastAsia" w:ascii="仿宋" w:hAnsi="仿宋" w:eastAsia="仿宋" w:cs="楷体"/>
          <w:b w:val="0"/>
          <w:bCs w:val="0"/>
          <w:sz w:val="32"/>
          <w:szCs w:val="32"/>
          <w:lang w:val="en-US" w:eastAsia="zh-CN"/>
        </w:rPr>
        <w:t>2</w:t>
      </w:r>
      <w:r>
        <w:rPr>
          <w:rFonts w:hint="eastAsia" w:ascii="仿宋" w:hAnsi="仿宋" w:eastAsia="仿宋" w:cs="楷体"/>
          <w:b w:val="0"/>
          <w:bCs w:val="0"/>
          <w:sz w:val="32"/>
          <w:szCs w:val="32"/>
          <w:lang w:eastAsia="zh-CN"/>
        </w:rPr>
        <w:t>）</w:t>
      </w:r>
      <w:r>
        <w:rPr>
          <w:rFonts w:hint="eastAsia" w:ascii="仿宋" w:hAnsi="仿宋" w:eastAsia="仿宋" w:cs="楷体"/>
          <w:b w:val="0"/>
          <w:bCs w:val="0"/>
          <w:sz w:val="32"/>
          <w:szCs w:val="32"/>
        </w:rPr>
        <w:t>差异原因分析</w:t>
      </w:r>
    </w:p>
    <w:p>
      <w:pPr>
        <w:numPr>
          <w:ilvl w:val="0"/>
          <w:numId w:val="0"/>
        </w:numPr>
        <w:snapToGrid w:val="0"/>
        <w:spacing w:line="520" w:lineRule="exact"/>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总收入决算比预算增长</w:t>
      </w:r>
      <w:r>
        <w:rPr>
          <w:rFonts w:hint="eastAsia" w:ascii="仿宋_GB2312" w:hAnsi="华文中宋" w:eastAsia="仿宋_GB2312"/>
          <w:sz w:val="32"/>
          <w:szCs w:val="32"/>
          <w:lang w:val="en-US" w:eastAsia="zh-CN"/>
        </w:rPr>
        <w:t>131.82</w:t>
      </w:r>
      <w:r>
        <w:rPr>
          <w:rFonts w:hint="eastAsia" w:ascii="仿宋_GB2312" w:hAnsi="华文中宋" w:eastAsia="仿宋_GB2312"/>
          <w:sz w:val="32"/>
          <w:szCs w:val="32"/>
        </w:rPr>
        <w:t>%，是因为按财政要求增列其他收入，将区直单位拨款收入纳入决算，预算时不包含此部分</w:t>
      </w:r>
      <w:r>
        <w:rPr>
          <w:rFonts w:hint="eastAsia" w:ascii="仿宋_GB2312" w:hAnsi="华文中宋" w:eastAsia="仿宋_GB2312"/>
          <w:sz w:val="32"/>
          <w:szCs w:val="32"/>
          <w:lang w:eastAsia="zh-CN"/>
        </w:rPr>
        <w:t>，</w:t>
      </w:r>
      <w:r>
        <w:rPr>
          <w:rFonts w:hint="eastAsia" w:ascii="仿宋_GB2312" w:hAnsi="华文中宋" w:eastAsia="仿宋_GB2312"/>
          <w:sz w:val="32"/>
          <w:szCs w:val="32"/>
        </w:rPr>
        <w:t>同时还有财政局</w:t>
      </w:r>
      <w:r>
        <w:rPr>
          <w:rFonts w:hint="eastAsia" w:ascii="仿宋_GB2312" w:hAnsi="华文中宋" w:eastAsia="仿宋_GB2312"/>
          <w:sz w:val="32"/>
          <w:szCs w:val="32"/>
          <w:lang w:eastAsia="zh-CN"/>
        </w:rPr>
        <w:t>新增</w:t>
      </w:r>
      <w:r>
        <w:rPr>
          <w:rFonts w:hint="eastAsia" w:ascii="仿宋_GB2312" w:hAnsi="华文中宋" w:eastAsia="仿宋_GB2312"/>
          <w:sz w:val="32"/>
          <w:szCs w:val="32"/>
        </w:rPr>
        <w:t>的公共部门项目经费，预算时不包含此部分</w:t>
      </w:r>
      <w:r>
        <w:rPr>
          <w:rFonts w:hint="eastAsia" w:ascii="仿宋_GB2312" w:hAnsi="华文中宋" w:eastAsia="仿宋_GB2312"/>
          <w:sz w:val="32"/>
          <w:szCs w:val="32"/>
          <w:lang w:eastAsia="zh-CN"/>
        </w:rPr>
        <w:t>，其中项目经费中的</w:t>
      </w:r>
      <w:r>
        <w:rPr>
          <w:rFonts w:hint="eastAsia" w:ascii="仿宋_GB2312" w:hAnsi="仿宋" w:eastAsia="仿宋_GB2312"/>
          <w:color w:val="000000"/>
          <w:sz w:val="32"/>
          <w:szCs w:val="32"/>
        </w:rPr>
        <w:t>限售股减持税收奖补</w:t>
      </w:r>
      <w:r>
        <w:rPr>
          <w:rFonts w:hint="eastAsia" w:ascii="仿宋_GB2312" w:hAnsi="仿宋" w:eastAsia="仿宋_GB2312"/>
          <w:color w:val="000000"/>
          <w:sz w:val="32"/>
          <w:szCs w:val="32"/>
          <w:lang w:eastAsia="zh-CN"/>
        </w:rPr>
        <w:t>收入</w:t>
      </w:r>
      <w:r>
        <w:rPr>
          <w:rFonts w:hint="eastAsia" w:ascii="仿宋_GB2312" w:hAnsi="仿宋" w:eastAsia="仿宋_GB2312"/>
          <w:color w:val="000000"/>
          <w:sz w:val="32"/>
          <w:szCs w:val="32"/>
          <w:lang w:val="en-US" w:eastAsia="zh-CN"/>
        </w:rPr>
        <w:t>4803.39</w:t>
      </w:r>
      <w:r>
        <w:rPr>
          <w:rFonts w:hint="eastAsia" w:ascii="仿宋_GB2312" w:hAnsi="仿宋" w:eastAsia="仿宋_GB2312"/>
          <w:color w:val="000000"/>
          <w:sz w:val="32"/>
          <w:szCs w:val="32"/>
          <w:lang w:eastAsia="zh-CN"/>
        </w:rPr>
        <w:t>万</w:t>
      </w:r>
      <w:r>
        <w:rPr>
          <w:rFonts w:hint="eastAsia" w:ascii="仿宋_GB2312" w:hAnsi="仿宋" w:eastAsia="仿宋_GB2312"/>
          <w:color w:val="000000"/>
          <w:sz w:val="32"/>
          <w:szCs w:val="32"/>
        </w:rPr>
        <w:t>元</w:t>
      </w:r>
      <w:r>
        <w:rPr>
          <w:rFonts w:hint="eastAsia" w:ascii="仿宋_GB2312" w:hAnsi="华文中宋" w:eastAsia="仿宋_GB2312"/>
          <w:sz w:val="32"/>
          <w:szCs w:val="32"/>
        </w:rPr>
        <w:t>；而财政拨款收入决算比预算增长</w:t>
      </w:r>
      <w:r>
        <w:rPr>
          <w:rFonts w:hint="eastAsia" w:ascii="仿宋_GB2312" w:hAnsi="华文中宋" w:eastAsia="仿宋_GB2312"/>
          <w:sz w:val="32"/>
          <w:szCs w:val="32"/>
          <w:lang w:val="en-US" w:eastAsia="zh-CN"/>
        </w:rPr>
        <w:t>113.54</w:t>
      </w:r>
      <w:r>
        <w:rPr>
          <w:rFonts w:hint="eastAsia" w:ascii="仿宋_GB2312" w:hAnsi="华文中宋" w:eastAsia="仿宋_GB2312"/>
          <w:sz w:val="32"/>
          <w:szCs w:val="32"/>
        </w:rPr>
        <w:t>%，在于财政局</w:t>
      </w:r>
      <w:r>
        <w:rPr>
          <w:rFonts w:hint="eastAsia" w:ascii="仿宋_GB2312" w:hAnsi="华文中宋" w:eastAsia="仿宋_GB2312"/>
          <w:sz w:val="32"/>
          <w:szCs w:val="32"/>
          <w:lang w:eastAsia="zh-CN"/>
        </w:rPr>
        <w:t>新增</w:t>
      </w:r>
      <w:r>
        <w:rPr>
          <w:rFonts w:hint="eastAsia" w:ascii="仿宋_GB2312" w:hAnsi="华文中宋" w:eastAsia="仿宋_GB2312"/>
          <w:sz w:val="32"/>
          <w:szCs w:val="32"/>
        </w:rPr>
        <w:t>的公共部门项目经费，预算时不包含此部分</w:t>
      </w:r>
      <w:r>
        <w:rPr>
          <w:rFonts w:hint="eastAsia" w:ascii="仿宋_GB2312" w:hAnsi="华文中宋" w:eastAsia="仿宋_GB2312"/>
          <w:sz w:val="32"/>
          <w:szCs w:val="32"/>
          <w:lang w:eastAsia="zh-CN"/>
        </w:rPr>
        <w:t>，其中项目经费中的</w:t>
      </w:r>
      <w:r>
        <w:rPr>
          <w:rFonts w:hint="eastAsia" w:ascii="仿宋_GB2312" w:hAnsi="仿宋" w:eastAsia="仿宋_GB2312"/>
          <w:color w:val="000000"/>
          <w:sz w:val="32"/>
          <w:szCs w:val="32"/>
        </w:rPr>
        <w:t>限售股减持税收奖补</w:t>
      </w:r>
      <w:r>
        <w:rPr>
          <w:rFonts w:hint="eastAsia" w:ascii="仿宋_GB2312" w:hAnsi="仿宋" w:eastAsia="仿宋_GB2312"/>
          <w:color w:val="000000"/>
          <w:sz w:val="32"/>
          <w:szCs w:val="32"/>
          <w:lang w:eastAsia="zh-CN"/>
        </w:rPr>
        <w:t>收入</w:t>
      </w:r>
      <w:r>
        <w:rPr>
          <w:rFonts w:hint="eastAsia" w:ascii="仿宋_GB2312" w:hAnsi="仿宋" w:eastAsia="仿宋_GB2312"/>
          <w:color w:val="000000"/>
          <w:sz w:val="32"/>
          <w:szCs w:val="32"/>
          <w:lang w:val="en-US" w:eastAsia="zh-CN"/>
        </w:rPr>
        <w:t>4803.39</w:t>
      </w:r>
      <w:r>
        <w:rPr>
          <w:rFonts w:hint="eastAsia" w:ascii="仿宋_GB2312" w:hAnsi="仿宋" w:eastAsia="仿宋_GB2312"/>
          <w:color w:val="000000"/>
          <w:sz w:val="32"/>
          <w:szCs w:val="32"/>
          <w:lang w:eastAsia="zh-CN"/>
        </w:rPr>
        <w:t>万</w:t>
      </w:r>
      <w:r>
        <w:rPr>
          <w:rFonts w:hint="eastAsia" w:ascii="仿宋_GB2312" w:hAnsi="仿宋" w:eastAsia="仿宋_GB2312"/>
          <w:color w:val="000000"/>
          <w:sz w:val="32"/>
          <w:szCs w:val="32"/>
        </w:rPr>
        <w:t>元</w:t>
      </w:r>
      <w:r>
        <w:rPr>
          <w:rFonts w:hint="eastAsia" w:ascii="仿宋_GB2312" w:hAnsi="华文中宋" w:eastAsia="仿宋_GB2312"/>
          <w:sz w:val="32"/>
          <w:szCs w:val="32"/>
        </w:rPr>
        <w:t>。</w:t>
      </w:r>
    </w:p>
    <w:p>
      <w:pPr>
        <w:spacing w:line="560" w:lineRule="exact"/>
        <w:ind w:firstLine="720" w:firstLineChars="225"/>
        <w:rPr>
          <w:rFonts w:hint="eastAsia"/>
        </w:rPr>
      </w:pPr>
      <w:r>
        <w:rPr>
          <w:rFonts w:hint="eastAsia" w:ascii="仿宋_GB2312" w:hAnsi="华文中宋" w:eastAsia="仿宋_GB2312"/>
          <w:sz w:val="32"/>
          <w:szCs w:val="32"/>
        </w:rPr>
        <w:t>总支出决算比预算增长</w:t>
      </w:r>
      <w:r>
        <w:rPr>
          <w:rFonts w:hint="eastAsia" w:ascii="仿宋_GB2312" w:hAnsi="华文中宋" w:eastAsia="仿宋_GB2312"/>
          <w:sz w:val="32"/>
          <w:szCs w:val="32"/>
          <w:lang w:val="en-US" w:eastAsia="zh-CN"/>
        </w:rPr>
        <w:t>156.63</w:t>
      </w:r>
      <w:r>
        <w:rPr>
          <w:rFonts w:hint="eastAsia" w:ascii="仿宋_GB2312" w:hAnsi="华文中宋" w:eastAsia="仿宋_GB2312"/>
          <w:sz w:val="32"/>
          <w:szCs w:val="32"/>
        </w:rPr>
        <w:t>%，是因为按财政要求增列预算外项目支出，预算不包含此部分；同时还有财政局</w:t>
      </w:r>
      <w:r>
        <w:rPr>
          <w:rFonts w:hint="eastAsia" w:ascii="仿宋_GB2312" w:hAnsi="华文中宋" w:eastAsia="仿宋_GB2312"/>
          <w:sz w:val="32"/>
          <w:szCs w:val="32"/>
          <w:lang w:eastAsia="zh-CN"/>
        </w:rPr>
        <w:t>新增</w:t>
      </w:r>
      <w:r>
        <w:rPr>
          <w:rFonts w:hint="eastAsia" w:ascii="仿宋_GB2312" w:hAnsi="华文中宋" w:eastAsia="仿宋_GB2312"/>
          <w:sz w:val="32"/>
          <w:szCs w:val="32"/>
        </w:rPr>
        <w:t>的公共部门项目经费，预算时不包含此部分</w:t>
      </w:r>
      <w:r>
        <w:rPr>
          <w:rFonts w:hint="eastAsia" w:ascii="仿宋_GB2312" w:hAnsi="华文中宋" w:eastAsia="仿宋_GB2312"/>
          <w:sz w:val="32"/>
          <w:szCs w:val="32"/>
          <w:lang w:eastAsia="zh-CN"/>
        </w:rPr>
        <w:t>，其中项目经费中的</w:t>
      </w:r>
      <w:r>
        <w:rPr>
          <w:rFonts w:hint="eastAsia" w:ascii="仿宋_GB2312" w:hAnsi="仿宋" w:eastAsia="仿宋_GB2312"/>
          <w:color w:val="000000"/>
          <w:sz w:val="32"/>
          <w:szCs w:val="32"/>
        </w:rPr>
        <w:t>限售股减持税收奖补支出</w:t>
      </w:r>
      <w:r>
        <w:rPr>
          <w:rFonts w:hint="eastAsia" w:ascii="仿宋_GB2312" w:hAnsi="仿宋" w:eastAsia="仿宋_GB2312"/>
          <w:color w:val="000000"/>
          <w:sz w:val="32"/>
          <w:szCs w:val="32"/>
          <w:lang w:val="en-US" w:eastAsia="zh-CN"/>
        </w:rPr>
        <w:t>4819.9</w:t>
      </w:r>
      <w:r>
        <w:rPr>
          <w:rFonts w:hint="eastAsia" w:ascii="仿宋_GB2312" w:hAnsi="仿宋" w:eastAsia="仿宋_GB2312"/>
          <w:color w:val="000000"/>
          <w:sz w:val="32"/>
          <w:szCs w:val="32"/>
          <w:lang w:eastAsia="zh-CN"/>
        </w:rPr>
        <w:t>万</w:t>
      </w:r>
      <w:r>
        <w:rPr>
          <w:rFonts w:hint="eastAsia" w:ascii="仿宋_GB2312" w:hAnsi="仿宋" w:eastAsia="仿宋_GB2312"/>
          <w:color w:val="000000"/>
          <w:sz w:val="32"/>
          <w:szCs w:val="32"/>
        </w:rPr>
        <w:t>元</w:t>
      </w:r>
      <w:r>
        <w:rPr>
          <w:rFonts w:hint="eastAsia" w:ascii="仿宋_GB2312" w:hAnsi="华文中宋" w:eastAsia="仿宋_GB2312"/>
          <w:sz w:val="32"/>
          <w:szCs w:val="32"/>
        </w:rPr>
        <w:t>。</w:t>
      </w:r>
    </w:p>
    <w:p>
      <w:pPr>
        <w:pStyle w:val="2"/>
        <w:numPr>
          <w:ilvl w:val="0"/>
          <w:numId w:val="0"/>
        </w:numPr>
        <w:ind w:firstLine="643" w:firstLineChars="200"/>
        <w:rPr>
          <w:rFonts w:hint="eastAsia" w:ascii="仿宋_GB2312" w:hAnsi="华文中宋" w:eastAsia="仿宋_GB2312"/>
          <w:sz w:val="32"/>
          <w:szCs w:val="32"/>
        </w:rPr>
      </w:pPr>
      <w:r>
        <w:rPr>
          <w:rFonts w:hint="eastAsia" w:ascii="仿宋" w:hAnsi="仿宋" w:eastAsia="仿宋" w:cs="楷体"/>
          <w:b/>
          <w:bCs/>
          <w:sz w:val="32"/>
          <w:szCs w:val="32"/>
          <w:lang w:val="en-US" w:eastAsia="zh-CN"/>
        </w:rPr>
        <w:t>2、</w:t>
      </w:r>
      <w:r>
        <w:rPr>
          <w:rFonts w:hint="eastAsia" w:ascii="仿宋" w:hAnsi="仿宋" w:eastAsia="仿宋" w:cs="楷体"/>
          <w:b/>
          <w:bCs/>
          <w:sz w:val="32"/>
          <w:szCs w:val="32"/>
        </w:rPr>
        <w:t>收入支出结构分析</w:t>
      </w:r>
      <w:r>
        <w:rPr>
          <w:rFonts w:hint="eastAsia" w:ascii="仿宋" w:hAnsi="仿宋" w:eastAsia="仿宋" w:cs="楷体"/>
          <w:b/>
          <w:bCs/>
          <w:sz w:val="32"/>
          <w:szCs w:val="32"/>
          <w:lang w:val="en-US" w:eastAsia="zh-CN"/>
        </w:rPr>
        <w:t xml:space="preserve">                                </w:t>
      </w:r>
    </w:p>
    <w:p>
      <w:pPr>
        <w:pStyle w:val="2"/>
        <w:numPr>
          <w:ilvl w:val="0"/>
          <w:numId w:val="0"/>
        </w:numPr>
        <w:ind w:firstLine="640" w:firstLineChars="200"/>
        <w:rPr>
          <w:rFonts w:hint="eastAsia" w:ascii="仿宋_GB2312" w:hAnsi="华文中宋" w:eastAsia="仿宋_GB2312"/>
          <w:sz w:val="32"/>
          <w:szCs w:val="32"/>
          <w:lang w:val="en-US" w:eastAsia="zh-CN"/>
        </w:rPr>
      </w:pPr>
      <w:r>
        <w:rPr>
          <w:rFonts w:hint="eastAsia" w:ascii="仿宋_GB2312" w:hAnsi="华文中宋" w:eastAsia="仿宋_GB2312" w:cs="Times New Roman"/>
          <w:color w:val="auto"/>
          <w:kern w:val="2"/>
          <w:sz w:val="32"/>
          <w:szCs w:val="32"/>
          <w:lang w:val="en-US" w:eastAsia="zh-CN" w:bidi="ar-SA"/>
        </w:rPr>
        <w:t>收入支出</w:t>
      </w:r>
      <w:r>
        <w:rPr>
          <w:rFonts w:hint="eastAsia" w:ascii="仿宋_GB2312" w:hAnsi="华文中宋" w:eastAsia="仿宋_GB2312"/>
          <w:sz w:val="32"/>
          <w:szCs w:val="32"/>
        </w:rPr>
        <w:t>分类占比情况分析：</w:t>
      </w:r>
      <w:r>
        <w:rPr>
          <w:rFonts w:hint="eastAsia" w:ascii="仿宋_GB2312" w:hAnsi="华文中宋" w:eastAsia="仿宋_GB2312"/>
          <w:sz w:val="32"/>
          <w:szCs w:val="32"/>
          <w:lang w:eastAsia="zh-CN"/>
        </w:rPr>
        <w:t>20</w:t>
      </w:r>
      <w:r>
        <w:rPr>
          <w:rFonts w:hint="eastAsia" w:ascii="仿宋_GB2312" w:hAnsi="华文中宋" w:eastAsia="仿宋_GB2312"/>
          <w:sz w:val="32"/>
          <w:szCs w:val="32"/>
          <w:lang w:val="en-US" w:eastAsia="zh-CN"/>
        </w:rPr>
        <w:t>21</w:t>
      </w:r>
      <w:r>
        <w:rPr>
          <w:rFonts w:hint="eastAsia" w:ascii="仿宋_GB2312" w:hAnsi="华文中宋" w:eastAsia="仿宋_GB2312"/>
          <w:sz w:val="32"/>
          <w:szCs w:val="32"/>
        </w:rPr>
        <w:t>年全年决算收入合计为</w:t>
      </w:r>
      <w:r>
        <w:rPr>
          <w:rFonts w:hint="eastAsia" w:ascii="仿宋_GB2312" w:hAnsi="华文中宋" w:eastAsia="仿宋_GB2312"/>
          <w:sz w:val="32"/>
          <w:szCs w:val="32"/>
          <w:lang w:val="en-US" w:eastAsia="zh-CN"/>
        </w:rPr>
        <w:t>11185.78</w:t>
      </w:r>
      <w:r>
        <w:rPr>
          <w:rFonts w:hint="eastAsia" w:ascii="仿宋_GB2312" w:hAnsi="华文中宋" w:eastAsia="仿宋_GB2312"/>
          <w:sz w:val="32"/>
          <w:szCs w:val="32"/>
        </w:rPr>
        <w:t>万元，其中财政拨款收入总决算为</w:t>
      </w:r>
      <w:r>
        <w:rPr>
          <w:rFonts w:hint="eastAsia" w:ascii="仿宋_GB2312" w:hAnsi="华文中宋" w:eastAsia="仿宋_GB2312"/>
          <w:sz w:val="32"/>
          <w:szCs w:val="32"/>
          <w:lang w:val="en-US" w:eastAsia="zh-CN"/>
        </w:rPr>
        <w:t>10303.99</w:t>
      </w:r>
      <w:r>
        <w:rPr>
          <w:rFonts w:hint="eastAsia" w:ascii="仿宋_GB2312" w:hAnsi="华文中宋" w:eastAsia="仿宋_GB2312"/>
          <w:sz w:val="32"/>
          <w:szCs w:val="32"/>
        </w:rPr>
        <w:t>万元，占比</w:t>
      </w:r>
      <w:r>
        <w:rPr>
          <w:rFonts w:hint="eastAsia" w:ascii="仿宋_GB2312" w:hAnsi="华文中宋" w:eastAsia="仿宋_GB2312"/>
          <w:sz w:val="32"/>
          <w:szCs w:val="32"/>
          <w:lang w:val="en-US" w:eastAsia="zh-CN"/>
        </w:rPr>
        <w:t>92.12</w:t>
      </w:r>
      <w:r>
        <w:rPr>
          <w:rFonts w:hint="eastAsia" w:ascii="仿宋_GB2312" w:hAnsi="华文中宋" w:eastAsia="仿宋_GB2312"/>
          <w:sz w:val="32"/>
          <w:szCs w:val="32"/>
        </w:rPr>
        <w:t>%；其他收入</w:t>
      </w:r>
      <w:r>
        <w:rPr>
          <w:rFonts w:hint="eastAsia" w:ascii="仿宋_GB2312" w:hAnsi="华文中宋" w:eastAsia="仿宋_GB2312"/>
          <w:sz w:val="32"/>
          <w:szCs w:val="32"/>
          <w:lang w:val="en-US" w:eastAsia="zh-CN"/>
        </w:rPr>
        <w:t>881.79</w:t>
      </w:r>
      <w:r>
        <w:rPr>
          <w:rFonts w:hint="eastAsia" w:ascii="仿宋_GB2312" w:hAnsi="华文中宋" w:eastAsia="仿宋_GB2312"/>
          <w:sz w:val="32"/>
          <w:szCs w:val="32"/>
        </w:rPr>
        <w:t>万元，占比</w:t>
      </w:r>
      <w:r>
        <w:rPr>
          <w:rFonts w:hint="eastAsia" w:ascii="仿宋_GB2312" w:hAnsi="华文中宋" w:eastAsia="仿宋_GB2312"/>
          <w:sz w:val="32"/>
          <w:szCs w:val="32"/>
          <w:lang w:val="en-US" w:eastAsia="zh-CN"/>
        </w:rPr>
        <w:t>7.88</w:t>
      </w:r>
      <w:r>
        <w:rPr>
          <w:rFonts w:hint="eastAsia" w:ascii="仿宋_GB2312" w:hAnsi="华文中宋" w:eastAsia="仿宋_GB2312"/>
          <w:sz w:val="32"/>
          <w:szCs w:val="32"/>
        </w:rPr>
        <w:t>%。</w:t>
      </w:r>
      <w:r>
        <w:rPr>
          <w:rFonts w:hint="eastAsia" w:ascii="仿宋_GB2312" w:hAnsi="华文中宋" w:eastAsia="仿宋_GB2312"/>
          <w:sz w:val="32"/>
          <w:szCs w:val="32"/>
          <w:lang w:eastAsia="zh-CN"/>
        </w:rPr>
        <w:t>20</w:t>
      </w:r>
      <w:r>
        <w:rPr>
          <w:rFonts w:hint="eastAsia" w:ascii="仿宋_GB2312" w:hAnsi="华文中宋" w:eastAsia="仿宋_GB2312"/>
          <w:sz w:val="32"/>
          <w:szCs w:val="32"/>
          <w:lang w:val="en-US" w:eastAsia="zh-CN"/>
        </w:rPr>
        <w:t>21</w:t>
      </w:r>
      <w:r>
        <w:rPr>
          <w:rFonts w:hint="eastAsia" w:ascii="仿宋_GB2312" w:hAnsi="华文中宋" w:eastAsia="仿宋_GB2312"/>
          <w:sz w:val="32"/>
          <w:szCs w:val="32"/>
        </w:rPr>
        <w:t>年决算支出</w:t>
      </w:r>
      <w:r>
        <w:rPr>
          <w:rFonts w:hint="eastAsia" w:ascii="仿宋_GB2312" w:hAnsi="华文中宋" w:eastAsia="仿宋_GB2312"/>
          <w:sz w:val="32"/>
          <w:szCs w:val="32"/>
          <w:lang w:val="en-US" w:eastAsia="zh-CN"/>
        </w:rPr>
        <w:t>12383.2</w:t>
      </w:r>
      <w:r>
        <w:rPr>
          <w:rFonts w:hint="eastAsia" w:ascii="仿宋_GB2312" w:hAnsi="华文中宋" w:eastAsia="仿宋_GB2312"/>
          <w:sz w:val="32"/>
          <w:szCs w:val="32"/>
        </w:rPr>
        <w:t>万元，其中决算基本支出</w:t>
      </w:r>
      <w:r>
        <w:rPr>
          <w:rFonts w:hint="eastAsia" w:ascii="仿宋_GB2312" w:hAnsi="华文中宋" w:eastAsia="仿宋_GB2312"/>
          <w:sz w:val="32"/>
          <w:szCs w:val="32"/>
          <w:lang w:val="en-US" w:eastAsia="zh-CN"/>
        </w:rPr>
        <w:t>3311.3</w:t>
      </w:r>
      <w:r>
        <w:rPr>
          <w:rFonts w:hint="eastAsia" w:ascii="仿宋_GB2312" w:hAnsi="华文中宋" w:eastAsia="仿宋_GB2312"/>
          <w:sz w:val="32"/>
          <w:szCs w:val="32"/>
        </w:rPr>
        <w:t>万元，占比</w:t>
      </w:r>
      <w:r>
        <w:rPr>
          <w:rFonts w:hint="eastAsia" w:ascii="仿宋_GB2312" w:hAnsi="华文中宋" w:eastAsia="仿宋_GB2312"/>
          <w:sz w:val="32"/>
          <w:szCs w:val="32"/>
          <w:lang w:val="en-US" w:eastAsia="zh-CN"/>
        </w:rPr>
        <w:t>26.74%</w:t>
      </w:r>
      <w:r>
        <w:rPr>
          <w:rFonts w:hint="eastAsia" w:ascii="仿宋_GB2312" w:hAnsi="华文中宋" w:eastAsia="仿宋_GB2312"/>
          <w:sz w:val="32"/>
          <w:szCs w:val="32"/>
        </w:rPr>
        <w:t>；决算项目支出</w:t>
      </w:r>
      <w:r>
        <w:rPr>
          <w:rFonts w:hint="eastAsia" w:ascii="仿宋_GB2312" w:hAnsi="华文中宋" w:eastAsia="仿宋_GB2312"/>
          <w:sz w:val="32"/>
          <w:szCs w:val="32"/>
          <w:lang w:val="en-US" w:eastAsia="zh-CN"/>
        </w:rPr>
        <w:t>9071.9</w:t>
      </w:r>
      <w:r>
        <w:rPr>
          <w:rFonts w:hint="eastAsia" w:ascii="仿宋_GB2312" w:hAnsi="华文中宋" w:eastAsia="仿宋_GB2312"/>
          <w:sz w:val="32"/>
          <w:szCs w:val="32"/>
        </w:rPr>
        <w:t>万元，占比</w:t>
      </w:r>
      <w:r>
        <w:rPr>
          <w:rFonts w:hint="eastAsia" w:ascii="仿宋_GB2312" w:hAnsi="华文中宋" w:eastAsia="仿宋_GB2312"/>
          <w:sz w:val="32"/>
          <w:szCs w:val="32"/>
          <w:lang w:val="en-US" w:eastAsia="zh-CN"/>
        </w:rPr>
        <w:t>73.26</w:t>
      </w:r>
      <w:r>
        <w:rPr>
          <w:rFonts w:hint="eastAsia" w:ascii="仿宋_GB2312" w:hAnsi="华文中宋" w:eastAsia="仿宋_GB2312"/>
          <w:sz w:val="32"/>
          <w:szCs w:val="32"/>
        </w:rPr>
        <w:t>%。</w:t>
      </w:r>
      <w:r>
        <w:rPr>
          <w:rFonts w:hint="eastAsia" w:ascii="仿宋_GB2312" w:hAnsi="华文中宋" w:eastAsia="仿宋_GB2312"/>
          <w:sz w:val="32"/>
          <w:szCs w:val="32"/>
          <w:lang w:eastAsia="zh-CN"/>
        </w:rPr>
        <w:t>上年结转结余</w:t>
      </w:r>
      <w:r>
        <w:rPr>
          <w:rFonts w:hint="eastAsia" w:ascii="仿宋_GB2312" w:hAnsi="华文中宋" w:eastAsia="仿宋_GB2312"/>
          <w:sz w:val="32"/>
          <w:szCs w:val="32"/>
          <w:lang w:val="en-US" w:eastAsia="zh-CN"/>
        </w:rPr>
        <w:t>1197.42万元，本年结转结余0万元。</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3、20</w:t>
      </w:r>
      <w:r>
        <w:rPr>
          <w:rFonts w:hint="eastAsia" w:ascii="仿宋" w:hAnsi="仿宋" w:eastAsia="仿宋" w:cs="楷体"/>
          <w:b/>
          <w:bCs/>
          <w:sz w:val="32"/>
          <w:szCs w:val="32"/>
          <w:lang w:val="en-US" w:eastAsia="zh-CN"/>
        </w:rPr>
        <w:t>21</w:t>
      </w:r>
      <w:r>
        <w:rPr>
          <w:rFonts w:hint="eastAsia" w:ascii="仿宋" w:hAnsi="仿宋" w:eastAsia="仿宋" w:cs="楷体"/>
          <w:b/>
          <w:bCs/>
          <w:sz w:val="32"/>
          <w:szCs w:val="32"/>
        </w:rPr>
        <w:t>年街道部门整体支出情况</w:t>
      </w:r>
    </w:p>
    <w:p>
      <w:pPr>
        <w:widowControl/>
        <w:shd w:val="clear" w:color="auto" w:fill="FFFFFF"/>
        <w:spacing w:line="580" w:lineRule="atLeast"/>
        <w:ind w:firstLine="643"/>
        <w:jc w:val="left"/>
        <w:rPr>
          <w:rFonts w:ascii="仿宋" w:hAnsi="仿宋" w:eastAsia="仿宋" w:cs="宋体"/>
          <w:b/>
          <w:bCs/>
          <w:color w:val="222222"/>
          <w:kern w:val="0"/>
          <w:sz w:val="32"/>
          <w:szCs w:val="32"/>
        </w:rPr>
      </w:pPr>
      <w:r>
        <w:rPr>
          <w:rFonts w:hint="eastAsia" w:ascii="仿宋" w:hAnsi="仿宋" w:eastAsia="仿宋"/>
          <w:sz w:val="32"/>
          <w:szCs w:val="32"/>
          <w:lang w:eastAsia="zh-CN"/>
        </w:rPr>
        <w:t>文艺路</w:t>
      </w:r>
      <w:r>
        <w:rPr>
          <w:rFonts w:hint="eastAsia" w:ascii="仿宋" w:hAnsi="仿宋" w:eastAsia="仿宋"/>
          <w:sz w:val="32"/>
          <w:szCs w:val="32"/>
        </w:rPr>
        <w:t>街道20</w:t>
      </w:r>
      <w:r>
        <w:rPr>
          <w:rFonts w:hint="eastAsia" w:ascii="仿宋" w:hAnsi="仿宋" w:eastAsia="仿宋"/>
          <w:sz w:val="32"/>
          <w:szCs w:val="32"/>
          <w:lang w:val="en-US" w:eastAsia="zh-CN"/>
        </w:rPr>
        <w:t>21</w:t>
      </w:r>
      <w:r>
        <w:rPr>
          <w:rFonts w:hint="eastAsia" w:ascii="仿宋" w:hAnsi="仿宋" w:eastAsia="仿宋"/>
          <w:sz w:val="32"/>
          <w:szCs w:val="32"/>
        </w:rPr>
        <w:t>年部门整体支出规模为</w:t>
      </w:r>
      <w:r>
        <w:rPr>
          <w:rFonts w:hint="eastAsia" w:ascii="仿宋_GB2312" w:hAnsi="华文中宋" w:eastAsia="仿宋_GB2312"/>
          <w:sz w:val="32"/>
          <w:szCs w:val="32"/>
          <w:lang w:val="en-US" w:eastAsia="zh-CN"/>
        </w:rPr>
        <w:t>12383.2</w:t>
      </w:r>
      <w:r>
        <w:rPr>
          <w:rFonts w:hint="eastAsia" w:ascii="仿宋" w:hAnsi="仿宋" w:eastAsia="仿宋"/>
          <w:sz w:val="32"/>
          <w:szCs w:val="32"/>
        </w:rPr>
        <w:t>万元，主要用于以下方面：</w:t>
      </w:r>
    </w:p>
    <w:tbl>
      <w:tblPr>
        <w:tblStyle w:val="6"/>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1520"/>
        <w:gridCol w:w="2994"/>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center"/>
          </w:tcPr>
          <w:p>
            <w:pPr>
              <w:jc w:val="center"/>
              <w:rPr>
                <w:rFonts w:ascii="仿宋" w:hAnsi="仿宋" w:eastAsia="仿宋"/>
                <w:b/>
                <w:sz w:val="28"/>
                <w:szCs w:val="28"/>
              </w:rPr>
            </w:pPr>
            <w:r>
              <w:rPr>
                <w:rFonts w:hint="eastAsia" w:ascii="仿宋" w:hAnsi="仿宋" w:eastAsia="仿宋"/>
                <w:b/>
                <w:sz w:val="28"/>
                <w:szCs w:val="28"/>
              </w:rPr>
              <w:t>项目</w:t>
            </w:r>
          </w:p>
          <w:p>
            <w:pPr>
              <w:jc w:val="center"/>
              <w:rPr>
                <w:rFonts w:ascii="仿宋" w:hAnsi="仿宋" w:eastAsia="仿宋"/>
                <w:b/>
                <w:sz w:val="28"/>
                <w:szCs w:val="28"/>
              </w:rPr>
            </w:pPr>
            <w:r>
              <w:rPr>
                <w:rFonts w:hint="eastAsia" w:ascii="仿宋" w:hAnsi="仿宋" w:eastAsia="仿宋"/>
                <w:b/>
                <w:sz w:val="28"/>
                <w:szCs w:val="28"/>
              </w:rPr>
              <w:t>（按功能分类）</w:t>
            </w:r>
          </w:p>
        </w:tc>
        <w:tc>
          <w:tcPr>
            <w:tcW w:w="1520" w:type="dxa"/>
            <w:tcBorders>
              <w:right w:val="doub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金额</w:t>
            </w:r>
          </w:p>
          <w:p>
            <w:pPr>
              <w:jc w:val="center"/>
              <w:rPr>
                <w:rFonts w:ascii="仿宋" w:hAnsi="仿宋" w:eastAsia="仿宋"/>
                <w:b/>
                <w:sz w:val="28"/>
                <w:szCs w:val="28"/>
              </w:rPr>
            </w:pPr>
            <w:r>
              <w:rPr>
                <w:rFonts w:hint="eastAsia" w:ascii="仿宋" w:hAnsi="仿宋" w:eastAsia="仿宋"/>
                <w:b/>
                <w:sz w:val="28"/>
                <w:szCs w:val="28"/>
              </w:rPr>
              <w:t>（万元）</w:t>
            </w:r>
          </w:p>
        </w:tc>
        <w:tc>
          <w:tcPr>
            <w:tcW w:w="2994" w:type="dxa"/>
            <w:tcBorders>
              <w:left w:val="doub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项目</w:t>
            </w:r>
          </w:p>
          <w:p>
            <w:pPr>
              <w:jc w:val="center"/>
              <w:rPr>
                <w:rFonts w:ascii="仿宋" w:hAnsi="仿宋" w:eastAsia="仿宋"/>
                <w:b/>
                <w:sz w:val="28"/>
                <w:szCs w:val="28"/>
              </w:rPr>
            </w:pPr>
            <w:r>
              <w:rPr>
                <w:rFonts w:hint="eastAsia" w:ascii="仿宋" w:hAnsi="仿宋" w:eastAsia="仿宋"/>
                <w:b/>
                <w:sz w:val="28"/>
                <w:szCs w:val="28"/>
              </w:rPr>
              <w:t>（按支出经济分类）</w:t>
            </w:r>
          </w:p>
        </w:tc>
        <w:tc>
          <w:tcPr>
            <w:tcW w:w="1496" w:type="dxa"/>
            <w:noWrap w:val="0"/>
            <w:vAlign w:val="center"/>
          </w:tcPr>
          <w:p>
            <w:pPr>
              <w:jc w:val="center"/>
              <w:rPr>
                <w:rFonts w:ascii="仿宋" w:hAnsi="仿宋" w:eastAsia="仿宋"/>
                <w:b/>
                <w:sz w:val="28"/>
                <w:szCs w:val="28"/>
              </w:rPr>
            </w:pPr>
            <w:r>
              <w:rPr>
                <w:rFonts w:hint="eastAsia" w:ascii="仿宋" w:hAnsi="仿宋" w:eastAsia="仿宋"/>
                <w:b/>
                <w:sz w:val="28"/>
                <w:szCs w:val="28"/>
              </w:rPr>
              <w:t>金额</w:t>
            </w:r>
          </w:p>
          <w:p>
            <w:pPr>
              <w:jc w:val="center"/>
              <w:rPr>
                <w:rFonts w:ascii="仿宋" w:hAnsi="仿宋" w:eastAsia="仿宋"/>
                <w:b/>
                <w:sz w:val="28"/>
                <w:szCs w:val="28"/>
              </w:rPr>
            </w:pPr>
            <w:r>
              <w:rPr>
                <w:rFonts w:hint="eastAsia" w:ascii="仿宋" w:hAnsi="仿宋" w:eastAsia="仿宋"/>
                <w:b/>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rPr>
                <w:rFonts w:ascii="仿宋" w:hAnsi="仿宋" w:eastAsia="仿宋"/>
                <w:sz w:val="24"/>
              </w:rPr>
            </w:pPr>
            <w:r>
              <w:rPr>
                <w:rFonts w:hint="eastAsia" w:ascii="仿宋" w:hAnsi="仿宋" w:eastAsia="仿宋"/>
                <w:sz w:val="24"/>
              </w:rPr>
              <w:t>一般公共服务支出</w:t>
            </w:r>
          </w:p>
        </w:tc>
        <w:tc>
          <w:tcPr>
            <w:tcW w:w="1520" w:type="dxa"/>
            <w:tcBorders>
              <w:right w:val="double" w:color="auto" w:sz="4" w:space="0"/>
            </w:tcBorders>
            <w:noWrap w:val="0"/>
            <w:vAlign w:val="top"/>
          </w:tcPr>
          <w:p>
            <w:pPr>
              <w:spacing w:line="600" w:lineRule="exact"/>
              <w:jc w:val="center"/>
              <w:rPr>
                <w:rFonts w:hint="default" w:ascii="仿宋" w:hAnsi="仿宋" w:eastAsia="仿宋"/>
                <w:sz w:val="24"/>
                <w:lang w:val="en-US" w:eastAsia="zh-CN"/>
              </w:rPr>
            </w:pPr>
            <w:r>
              <w:rPr>
                <w:rFonts w:hint="eastAsia" w:ascii="仿宋" w:hAnsi="仿宋" w:eastAsia="仿宋"/>
                <w:sz w:val="24"/>
                <w:lang w:val="en-US" w:eastAsia="zh-CN"/>
              </w:rPr>
              <w:t>2060.06</w:t>
            </w:r>
          </w:p>
        </w:tc>
        <w:tc>
          <w:tcPr>
            <w:tcW w:w="2994" w:type="dxa"/>
            <w:tcBorders>
              <w:left w:val="double" w:color="auto" w:sz="4" w:space="0"/>
            </w:tcBorders>
            <w:noWrap w:val="0"/>
            <w:vAlign w:val="top"/>
          </w:tcPr>
          <w:p>
            <w:pPr>
              <w:spacing w:line="600" w:lineRule="exact"/>
              <w:rPr>
                <w:rFonts w:ascii="仿宋" w:hAnsi="仿宋" w:eastAsia="仿宋"/>
                <w:sz w:val="24"/>
              </w:rPr>
            </w:pPr>
            <w:r>
              <w:rPr>
                <w:rFonts w:hint="eastAsia" w:ascii="仿宋" w:hAnsi="仿宋" w:eastAsia="仿宋"/>
                <w:sz w:val="24"/>
              </w:rPr>
              <w:t>工资福利支出</w:t>
            </w:r>
          </w:p>
        </w:tc>
        <w:tc>
          <w:tcPr>
            <w:tcW w:w="1496" w:type="dxa"/>
            <w:noWrap w:val="0"/>
            <w:vAlign w:val="top"/>
          </w:tcPr>
          <w:p>
            <w:pPr>
              <w:spacing w:line="600" w:lineRule="exact"/>
              <w:jc w:val="center"/>
              <w:rPr>
                <w:rFonts w:hint="default" w:ascii="仿宋" w:hAnsi="仿宋" w:eastAsia="仿宋"/>
                <w:sz w:val="24"/>
                <w:lang w:val="en-US" w:eastAsia="zh-CN"/>
              </w:rPr>
            </w:pPr>
            <w:r>
              <w:rPr>
                <w:rFonts w:hint="eastAsia" w:ascii="仿宋" w:hAnsi="仿宋" w:eastAsia="仿宋"/>
                <w:sz w:val="24"/>
                <w:lang w:val="en-US" w:eastAsia="zh-CN"/>
              </w:rPr>
              <w:t>3514.02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rPr>
                <w:rFonts w:ascii="仿宋" w:hAnsi="仿宋" w:eastAsia="仿宋" w:cs="Times New Roman"/>
                <w:kern w:val="2"/>
                <w:sz w:val="24"/>
                <w:szCs w:val="24"/>
                <w:lang w:val="en-US" w:eastAsia="zh-CN" w:bidi="ar-SA"/>
              </w:rPr>
            </w:pPr>
            <w:r>
              <w:rPr>
                <w:rFonts w:hint="eastAsia" w:ascii="仿宋" w:hAnsi="仿宋" w:eastAsia="仿宋"/>
                <w:sz w:val="24"/>
                <w:lang w:eastAsia="zh-CN"/>
              </w:rPr>
              <w:t>公共安全</w:t>
            </w:r>
            <w:r>
              <w:rPr>
                <w:rFonts w:hint="eastAsia" w:ascii="仿宋" w:hAnsi="仿宋" w:eastAsia="仿宋"/>
                <w:sz w:val="24"/>
              </w:rPr>
              <w:t>支出</w:t>
            </w:r>
          </w:p>
        </w:tc>
        <w:tc>
          <w:tcPr>
            <w:tcW w:w="1520" w:type="dxa"/>
            <w:tcBorders>
              <w:right w:val="double" w:color="auto" w:sz="4" w:space="0"/>
            </w:tcBorders>
            <w:noWrap w:val="0"/>
            <w:vAlign w:val="top"/>
          </w:tcPr>
          <w:p>
            <w:pPr>
              <w:spacing w:line="600" w:lineRule="exact"/>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13.5</w:t>
            </w:r>
          </w:p>
        </w:tc>
        <w:tc>
          <w:tcPr>
            <w:tcW w:w="2994" w:type="dxa"/>
            <w:tcBorders>
              <w:left w:val="double" w:color="auto" w:sz="4" w:space="0"/>
            </w:tcBorders>
            <w:noWrap w:val="0"/>
            <w:vAlign w:val="top"/>
          </w:tcPr>
          <w:p>
            <w:pPr>
              <w:spacing w:line="600" w:lineRule="exact"/>
              <w:rPr>
                <w:rFonts w:ascii="仿宋" w:hAnsi="仿宋" w:eastAsia="仿宋"/>
                <w:sz w:val="24"/>
              </w:rPr>
            </w:pPr>
            <w:r>
              <w:rPr>
                <w:rFonts w:hint="eastAsia" w:ascii="仿宋" w:hAnsi="仿宋" w:eastAsia="仿宋"/>
                <w:sz w:val="24"/>
              </w:rPr>
              <w:t>商品和服务支出</w:t>
            </w:r>
          </w:p>
        </w:tc>
        <w:tc>
          <w:tcPr>
            <w:tcW w:w="1496" w:type="dxa"/>
            <w:noWrap w:val="0"/>
            <w:vAlign w:val="top"/>
          </w:tcPr>
          <w:p>
            <w:pPr>
              <w:spacing w:line="600" w:lineRule="exact"/>
              <w:jc w:val="center"/>
              <w:rPr>
                <w:rFonts w:hint="default" w:ascii="仿宋" w:hAnsi="仿宋" w:eastAsia="仿宋"/>
                <w:sz w:val="24"/>
                <w:lang w:val="en-US" w:eastAsia="zh-CN"/>
              </w:rPr>
            </w:pPr>
            <w:r>
              <w:rPr>
                <w:rFonts w:hint="eastAsia" w:ascii="仿宋" w:hAnsi="仿宋" w:eastAsia="仿宋"/>
                <w:sz w:val="24"/>
                <w:lang w:val="en-US" w:eastAsia="zh-CN"/>
              </w:rPr>
              <w:t>2091.53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rPr>
                <w:rFonts w:hint="eastAsia" w:ascii="仿宋" w:hAnsi="仿宋" w:eastAsia="仿宋"/>
                <w:sz w:val="24"/>
                <w:lang w:eastAsia="zh-CN"/>
              </w:rPr>
            </w:pPr>
            <w:r>
              <w:rPr>
                <w:rFonts w:hint="eastAsia" w:ascii="仿宋" w:hAnsi="仿宋" w:eastAsia="仿宋"/>
                <w:sz w:val="24"/>
                <w:lang w:eastAsia="zh-CN"/>
              </w:rPr>
              <w:t>文化旅游体育与传媒支出</w:t>
            </w:r>
          </w:p>
        </w:tc>
        <w:tc>
          <w:tcPr>
            <w:tcW w:w="1520" w:type="dxa"/>
            <w:tcBorders>
              <w:right w:val="double" w:color="auto" w:sz="4" w:space="0"/>
            </w:tcBorders>
            <w:noWrap w:val="0"/>
            <w:vAlign w:val="top"/>
          </w:tcPr>
          <w:p>
            <w:pPr>
              <w:spacing w:line="600" w:lineRule="exact"/>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2.5</w:t>
            </w:r>
          </w:p>
        </w:tc>
        <w:tc>
          <w:tcPr>
            <w:tcW w:w="2994" w:type="dxa"/>
            <w:tcBorders>
              <w:left w:val="double" w:color="auto" w:sz="4" w:space="0"/>
            </w:tcBorders>
            <w:noWrap w:val="0"/>
            <w:vAlign w:val="top"/>
          </w:tcPr>
          <w:p>
            <w:pPr>
              <w:spacing w:line="600" w:lineRule="exact"/>
              <w:rPr>
                <w:rFonts w:hint="eastAsia" w:ascii="仿宋" w:hAnsi="仿宋" w:eastAsia="仿宋"/>
                <w:sz w:val="24"/>
              </w:rPr>
            </w:pPr>
            <w:r>
              <w:rPr>
                <w:rFonts w:hint="eastAsia" w:ascii="仿宋" w:hAnsi="仿宋" w:eastAsia="仿宋"/>
                <w:sz w:val="24"/>
              </w:rPr>
              <w:t>对个人和家庭的补助</w:t>
            </w:r>
          </w:p>
        </w:tc>
        <w:tc>
          <w:tcPr>
            <w:tcW w:w="1496" w:type="dxa"/>
            <w:noWrap w:val="0"/>
            <w:vAlign w:val="top"/>
          </w:tcPr>
          <w:p>
            <w:pPr>
              <w:spacing w:line="600" w:lineRule="exact"/>
              <w:jc w:val="center"/>
              <w:rPr>
                <w:rFonts w:hint="default" w:ascii="仿宋" w:hAnsi="仿宋" w:eastAsia="仿宋"/>
                <w:sz w:val="24"/>
                <w:lang w:val="en-US" w:eastAsia="zh-CN"/>
              </w:rPr>
            </w:pPr>
            <w:r>
              <w:rPr>
                <w:rFonts w:hint="eastAsia" w:ascii="仿宋" w:hAnsi="仿宋" w:eastAsia="仿宋"/>
                <w:sz w:val="24"/>
                <w:lang w:val="en-US" w:eastAsia="zh-CN"/>
              </w:rPr>
              <w:t>5244.22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rPr>
                <w:rFonts w:ascii="仿宋" w:hAnsi="仿宋" w:eastAsia="仿宋" w:cs="Times New Roman"/>
                <w:kern w:val="2"/>
                <w:sz w:val="24"/>
                <w:szCs w:val="24"/>
                <w:lang w:val="en-US" w:eastAsia="zh-CN" w:bidi="ar-SA"/>
              </w:rPr>
            </w:pPr>
            <w:r>
              <w:rPr>
                <w:rFonts w:hint="eastAsia" w:ascii="仿宋" w:hAnsi="仿宋" w:eastAsia="仿宋"/>
                <w:sz w:val="24"/>
              </w:rPr>
              <w:t>社会保障和就业支出</w:t>
            </w:r>
          </w:p>
        </w:tc>
        <w:tc>
          <w:tcPr>
            <w:tcW w:w="1520" w:type="dxa"/>
            <w:tcBorders>
              <w:right w:val="double" w:color="auto" w:sz="4" w:space="0"/>
            </w:tcBorders>
            <w:noWrap w:val="0"/>
            <w:vAlign w:val="top"/>
          </w:tcPr>
          <w:p>
            <w:pPr>
              <w:spacing w:line="600" w:lineRule="exact"/>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1630.84</w:t>
            </w:r>
          </w:p>
        </w:tc>
        <w:tc>
          <w:tcPr>
            <w:tcW w:w="2994" w:type="dxa"/>
            <w:tcBorders>
              <w:left w:val="double" w:color="auto" w:sz="4" w:space="0"/>
            </w:tcBorders>
            <w:noWrap w:val="0"/>
            <w:vAlign w:val="top"/>
          </w:tcPr>
          <w:p>
            <w:pPr>
              <w:spacing w:line="600" w:lineRule="exact"/>
              <w:rPr>
                <w:rFonts w:ascii="仿宋" w:hAnsi="仿宋" w:eastAsia="仿宋"/>
                <w:sz w:val="24"/>
              </w:rPr>
            </w:pPr>
            <w:r>
              <w:rPr>
                <w:rFonts w:hint="eastAsia" w:ascii="仿宋" w:hAnsi="仿宋" w:eastAsia="仿宋"/>
                <w:sz w:val="24"/>
              </w:rPr>
              <w:t>资本性支出（基本建设）</w:t>
            </w:r>
          </w:p>
        </w:tc>
        <w:tc>
          <w:tcPr>
            <w:tcW w:w="1496" w:type="dxa"/>
            <w:noWrap w:val="0"/>
            <w:vAlign w:val="top"/>
          </w:tcPr>
          <w:p>
            <w:pPr>
              <w:spacing w:line="600" w:lineRule="exact"/>
              <w:jc w:val="center"/>
              <w:rPr>
                <w:rFonts w:hint="default" w:ascii="仿宋" w:hAnsi="仿宋" w:eastAsia="仿宋"/>
                <w:sz w:val="24"/>
                <w:lang w:val="en-US" w:eastAsia="zh-CN"/>
              </w:rPr>
            </w:pPr>
            <w:r>
              <w:rPr>
                <w:rFonts w:hint="eastAsia" w:ascii="仿宋" w:hAnsi="仿宋" w:eastAsia="仿宋"/>
                <w:sz w:val="24"/>
                <w:lang w:val="en-US" w:eastAsia="zh-CN"/>
              </w:rPr>
              <w:t>158.63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rPr>
                <w:rFonts w:ascii="仿宋" w:hAnsi="仿宋" w:eastAsia="仿宋" w:cs="Times New Roman"/>
                <w:kern w:val="2"/>
                <w:sz w:val="24"/>
                <w:szCs w:val="24"/>
                <w:lang w:val="en-US" w:eastAsia="zh-CN" w:bidi="ar-SA"/>
              </w:rPr>
            </w:pPr>
            <w:r>
              <w:rPr>
                <w:rFonts w:hint="eastAsia" w:ascii="仿宋" w:hAnsi="仿宋" w:eastAsia="仿宋"/>
                <w:sz w:val="24"/>
              </w:rPr>
              <w:t>卫生健康支出</w:t>
            </w:r>
          </w:p>
        </w:tc>
        <w:tc>
          <w:tcPr>
            <w:tcW w:w="1520" w:type="dxa"/>
            <w:tcBorders>
              <w:right w:val="double" w:color="auto" w:sz="4" w:space="0"/>
            </w:tcBorders>
            <w:noWrap w:val="0"/>
            <w:vAlign w:val="top"/>
          </w:tcPr>
          <w:p>
            <w:pPr>
              <w:spacing w:line="600" w:lineRule="exact"/>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59.62</w:t>
            </w:r>
          </w:p>
        </w:tc>
        <w:tc>
          <w:tcPr>
            <w:tcW w:w="2994" w:type="dxa"/>
            <w:tcBorders>
              <w:left w:val="double" w:color="auto" w:sz="4" w:space="0"/>
            </w:tcBorders>
            <w:noWrap w:val="0"/>
            <w:vAlign w:val="top"/>
          </w:tcPr>
          <w:p>
            <w:pPr>
              <w:spacing w:line="600" w:lineRule="exact"/>
              <w:rPr>
                <w:rFonts w:ascii="仿宋" w:hAnsi="仿宋" w:eastAsia="仿宋"/>
                <w:sz w:val="24"/>
              </w:rPr>
            </w:pPr>
            <w:r>
              <w:rPr>
                <w:rFonts w:hint="eastAsia" w:ascii="仿宋" w:hAnsi="仿宋" w:eastAsia="仿宋"/>
                <w:sz w:val="24"/>
              </w:rPr>
              <w:t>资本性支出</w:t>
            </w:r>
          </w:p>
        </w:tc>
        <w:tc>
          <w:tcPr>
            <w:tcW w:w="1496" w:type="dxa"/>
            <w:noWrap w:val="0"/>
            <w:vAlign w:val="top"/>
          </w:tcPr>
          <w:p>
            <w:pPr>
              <w:spacing w:line="600" w:lineRule="exact"/>
              <w:jc w:val="center"/>
              <w:rPr>
                <w:rFonts w:hint="default" w:ascii="仿宋" w:hAnsi="仿宋" w:eastAsia="仿宋"/>
                <w:sz w:val="24"/>
                <w:lang w:val="en-US" w:eastAsia="zh-CN"/>
              </w:rPr>
            </w:pPr>
            <w:r>
              <w:rPr>
                <w:rFonts w:hint="eastAsia" w:ascii="仿宋" w:hAnsi="仿宋" w:eastAsia="仿宋"/>
                <w:sz w:val="24"/>
                <w:lang w:val="en-US" w:eastAsia="zh-CN"/>
              </w:rPr>
              <w:t>1374.8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rPr>
                <w:rFonts w:hint="eastAsia" w:ascii="仿宋" w:hAnsi="仿宋" w:eastAsia="仿宋"/>
                <w:sz w:val="24"/>
                <w:lang w:eastAsia="zh-CN"/>
              </w:rPr>
            </w:pPr>
            <w:r>
              <w:rPr>
                <w:rFonts w:hint="eastAsia" w:ascii="仿宋" w:hAnsi="仿宋" w:eastAsia="仿宋"/>
                <w:sz w:val="24"/>
                <w:lang w:eastAsia="zh-CN"/>
              </w:rPr>
              <w:t>节能环保支出</w:t>
            </w:r>
          </w:p>
        </w:tc>
        <w:tc>
          <w:tcPr>
            <w:tcW w:w="1520" w:type="dxa"/>
            <w:tcBorders>
              <w:right w:val="double" w:color="auto" w:sz="4" w:space="0"/>
            </w:tcBorders>
            <w:noWrap w:val="0"/>
            <w:vAlign w:val="top"/>
          </w:tcPr>
          <w:p>
            <w:pPr>
              <w:spacing w:line="600" w:lineRule="exact"/>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15</w:t>
            </w:r>
          </w:p>
        </w:tc>
        <w:tc>
          <w:tcPr>
            <w:tcW w:w="2994" w:type="dxa"/>
            <w:tcBorders>
              <w:left w:val="double" w:color="auto" w:sz="4" w:space="0"/>
            </w:tcBorders>
            <w:noWrap w:val="0"/>
            <w:vAlign w:val="top"/>
          </w:tcPr>
          <w:p>
            <w:pPr>
              <w:spacing w:line="600" w:lineRule="exact"/>
              <w:rPr>
                <w:rFonts w:hint="eastAsia" w:ascii="仿宋" w:hAnsi="仿宋" w:eastAsia="仿宋"/>
                <w:sz w:val="24"/>
              </w:rPr>
            </w:pPr>
          </w:p>
        </w:tc>
        <w:tc>
          <w:tcPr>
            <w:tcW w:w="1496" w:type="dxa"/>
            <w:noWrap w:val="0"/>
            <w:vAlign w:val="top"/>
          </w:tcPr>
          <w:p>
            <w:pPr>
              <w:spacing w:line="600" w:lineRule="exact"/>
              <w:jc w:val="center"/>
              <w:rPr>
                <w:rFonts w:hint="default"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rPr>
                <w:rFonts w:ascii="仿宋" w:hAnsi="仿宋" w:eastAsia="仿宋" w:cs="Times New Roman"/>
                <w:kern w:val="2"/>
                <w:sz w:val="24"/>
                <w:szCs w:val="24"/>
                <w:lang w:val="en-US" w:eastAsia="zh-CN" w:bidi="ar-SA"/>
              </w:rPr>
            </w:pPr>
            <w:r>
              <w:rPr>
                <w:rFonts w:hint="eastAsia" w:ascii="仿宋" w:hAnsi="仿宋" w:eastAsia="仿宋"/>
                <w:sz w:val="24"/>
              </w:rPr>
              <w:t>城乡社区支出</w:t>
            </w:r>
          </w:p>
        </w:tc>
        <w:tc>
          <w:tcPr>
            <w:tcW w:w="1520" w:type="dxa"/>
            <w:tcBorders>
              <w:right w:val="double" w:color="auto" w:sz="4" w:space="0"/>
            </w:tcBorders>
            <w:noWrap w:val="0"/>
            <w:vAlign w:val="top"/>
          </w:tcPr>
          <w:p>
            <w:pPr>
              <w:spacing w:line="600" w:lineRule="exact"/>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2177.03</w:t>
            </w:r>
          </w:p>
        </w:tc>
        <w:tc>
          <w:tcPr>
            <w:tcW w:w="2994" w:type="dxa"/>
            <w:tcBorders>
              <w:left w:val="double" w:color="auto" w:sz="4" w:space="0"/>
            </w:tcBorders>
            <w:noWrap w:val="0"/>
            <w:vAlign w:val="top"/>
          </w:tcPr>
          <w:p>
            <w:pPr>
              <w:spacing w:line="600" w:lineRule="exact"/>
              <w:rPr>
                <w:rFonts w:ascii="仿宋" w:hAnsi="仿宋" w:eastAsia="仿宋"/>
                <w:sz w:val="24"/>
              </w:rPr>
            </w:pPr>
          </w:p>
        </w:tc>
        <w:tc>
          <w:tcPr>
            <w:tcW w:w="1496" w:type="dxa"/>
            <w:noWrap w:val="0"/>
            <w:vAlign w:val="top"/>
          </w:tcPr>
          <w:p>
            <w:pPr>
              <w:spacing w:line="600" w:lineRule="exact"/>
              <w:jc w:val="center"/>
              <w:rPr>
                <w:rFonts w:hint="default"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rPr>
                <w:rFonts w:ascii="仿宋" w:hAnsi="仿宋" w:eastAsia="仿宋"/>
                <w:sz w:val="24"/>
              </w:rPr>
            </w:pPr>
            <w:r>
              <w:rPr>
                <w:rFonts w:hint="eastAsia" w:ascii="仿宋" w:hAnsi="仿宋" w:eastAsia="仿宋"/>
                <w:sz w:val="24"/>
              </w:rPr>
              <w:t>资源勘探工业信息等支出</w:t>
            </w:r>
          </w:p>
        </w:tc>
        <w:tc>
          <w:tcPr>
            <w:tcW w:w="1520" w:type="dxa"/>
            <w:tcBorders>
              <w:right w:val="double" w:color="auto" w:sz="4" w:space="0"/>
            </w:tcBorders>
            <w:noWrap w:val="0"/>
            <w:vAlign w:val="top"/>
          </w:tcPr>
          <w:p>
            <w:pPr>
              <w:spacing w:line="600" w:lineRule="exact"/>
              <w:jc w:val="center"/>
              <w:rPr>
                <w:rFonts w:hint="default" w:ascii="仿宋" w:hAnsi="仿宋" w:eastAsia="仿宋"/>
                <w:sz w:val="24"/>
                <w:lang w:val="en-US" w:eastAsia="zh-CN"/>
              </w:rPr>
            </w:pPr>
            <w:r>
              <w:rPr>
                <w:rFonts w:hint="eastAsia" w:ascii="仿宋" w:hAnsi="仿宋" w:eastAsia="仿宋"/>
                <w:sz w:val="24"/>
                <w:lang w:val="en-US" w:eastAsia="zh-CN"/>
              </w:rPr>
              <w:t>1.09</w:t>
            </w:r>
          </w:p>
        </w:tc>
        <w:tc>
          <w:tcPr>
            <w:tcW w:w="2994" w:type="dxa"/>
            <w:tcBorders>
              <w:left w:val="double" w:color="auto" w:sz="4" w:space="0"/>
            </w:tcBorders>
            <w:noWrap w:val="0"/>
            <w:vAlign w:val="top"/>
          </w:tcPr>
          <w:p>
            <w:pPr>
              <w:spacing w:line="600" w:lineRule="exact"/>
              <w:rPr>
                <w:rFonts w:ascii="仿宋" w:hAnsi="仿宋" w:eastAsia="仿宋"/>
                <w:sz w:val="24"/>
              </w:rPr>
            </w:pPr>
          </w:p>
        </w:tc>
        <w:tc>
          <w:tcPr>
            <w:tcW w:w="1496" w:type="dxa"/>
            <w:noWrap w:val="0"/>
            <w:vAlign w:val="top"/>
          </w:tcPr>
          <w:p>
            <w:pPr>
              <w:spacing w:line="600" w:lineRule="exact"/>
              <w:jc w:val="center"/>
              <w:rPr>
                <w:rFonts w:hint="default"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966" w:type="dxa"/>
            <w:noWrap w:val="0"/>
            <w:vAlign w:val="top"/>
          </w:tcPr>
          <w:p>
            <w:pPr>
              <w:spacing w:line="600" w:lineRule="exact"/>
              <w:rPr>
                <w:rFonts w:ascii="仿宋" w:hAnsi="仿宋" w:eastAsia="仿宋"/>
                <w:sz w:val="24"/>
              </w:rPr>
            </w:pPr>
            <w:r>
              <w:rPr>
                <w:rFonts w:hint="eastAsia" w:ascii="仿宋" w:hAnsi="仿宋" w:eastAsia="仿宋"/>
                <w:sz w:val="24"/>
              </w:rPr>
              <w:t>灾害防治及应急管理支出</w:t>
            </w:r>
          </w:p>
        </w:tc>
        <w:tc>
          <w:tcPr>
            <w:tcW w:w="1520" w:type="dxa"/>
            <w:tcBorders>
              <w:right w:val="double" w:color="auto" w:sz="4" w:space="0"/>
            </w:tcBorders>
            <w:noWrap w:val="0"/>
            <w:vAlign w:val="top"/>
          </w:tcPr>
          <w:p>
            <w:pPr>
              <w:spacing w:line="600" w:lineRule="exact"/>
              <w:jc w:val="center"/>
              <w:rPr>
                <w:rFonts w:hint="default" w:ascii="仿宋" w:hAnsi="仿宋" w:eastAsia="仿宋"/>
                <w:sz w:val="24"/>
                <w:lang w:val="en-US" w:eastAsia="zh-CN"/>
              </w:rPr>
            </w:pPr>
            <w:r>
              <w:rPr>
                <w:rFonts w:hint="eastAsia" w:ascii="仿宋" w:hAnsi="仿宋" w:eastAsia="仿宋"/>
                <w:sz w:val="24"/>
                <w:lang w:val="en-US" w:eastAsia="zh-CN"/>
              </w:rPr>
              <w:t>3</w:t>
            </w:r>
          </w:p>
        </w:tc>
        <w:tc>
          <w:tcPr>
            <w:tcW w:w="2994" w:type="dxa"/>
            <w:tcBorders>
              <w:left w:val="double" w:color="auto" w:sz="4" w:space="0"/>
            </w:tcBorders>
            <w:noWrap w:val="0"/>
            <w:vAlign w:val="top"/>
          </w:tcPr>
          <w:p>
            <w:pPr>
              <w:spacing w:line="600" w:lineRule="exact"/>
              <w:rPr>
                <w:rFonts w:ascii="仿宋" w:hAnsi="仿宋" w:eastAsia="仿宋"/>
                <w:sz w:val="24"/>
              </w:rPr>
            </w:pPr>
          </w:p>
        </w:tc>
        <w:tc>
          <w:tcPr>
            <w:tcW w:w="1496" w:type="dxa"/>
            <w:noWrap w:val="0"/>
            <w:vAlign w:val="top"/>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rPr>
                <w:rFonts w:ascii="仿宋" w:hAnsi="仿宋" w:eastAsia="仿宋"/>
                <w:sz w:val="24"/>
              </w:rPr>
            </w:pPr>
            <w:r>
              <w:rPr>
                <w:rFonts w:hint="eastAsia" w:ascii="仿宋" w:hAnsi="仿宋" w:eastAsia="仿宋"/>
                <w:sz w:val="24"/>
              </w:rPr>
              <w:t>其他支出</w:t>
            </w:r>
          </w:p>
        </w:tc>
        <w:tc>
          <w:tcPr>
            <w:tcW w:w="1520" w:type="dxa"/>
            <w:tcBorders>
              <w:right w:val="double" w:color="auto" w:sz="4" w:space="0"/>
            </w:tcBorders>
            <w:noWrap w:val="0"/>
            <w:vAlign w:val="top"/>
          </w:tcPr>
          <w:p>
            <w:pPr>
              <w:spacing w:line="600" w:lineRule="exact"/>
              <w:jc w:val="center"/>
              <w:rPr>
                <w:rFonts w:hint="default" w:ascii="仿宋" w:hAnsi="仿宋" w:eastAsia="仿宋"/>
                <w:sz w:val="24"/>
                <w:lang w:val="en-US" w:eastAsia="zh-CN"/>
              </w:rPr>
            </w:pPr>
            <w:r>
              <w:rPr>
                <w:rFonts w:hint="eastAsia" w:ascii="仿宋" w:hAnsi="仿宋" w:eastAsia="仿宋"/>
                <w:sz w:val="24"/>
                <w:lang w:val="en-US" w:eastAsia="zh-CN"/>
              </w:rPr>
              <w:t>6420.56</w:t>
            </w:r>
          </w:p>
        </w:tc>
        <w:tc>
          <w:tcPr>
            <w:tcW w:w="2994" w:type="dxa"/>
            <w:tcBorders>
              <w:left w:val="double" w:color="auto" w:sz="4" w:space="0"/>
            </w:tcBorders>
            <w:noWrap w:val="0"/>
            <w:vAlign w:val="top"/>
          </w:tcPr>
          <w:p>
            <w:pPr>
              <w:spacing w:line="600" w:lineRule="exact"/>
              <w:rPr>
                <w:rFonts w:ascii="仿宋" w:hAnsi="仿宋" w:eastAsia="仿宋"/>
                <w:sz w:val="24"/>
              </w:rPr>
            </w:pPr>
          </w:p>
        </w:tc>
        <w:tc>
          <w:tcPr>
            <w:tcW w:w="1496" w:type="dxa"/>
            <w:noWrap w:val="0"/>
            <w:vAlign w:val="top"/>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6" w:type="dxa"/>
            <w:noWrap w:val="0"/>
            <w:vAlign w:val="top"/>
          </w:tcPr>
          <w:p>
            <w:pPr>
              <w:spacing w:line="600" w:lineRule="exact"/>
              <w:jc w:val="center"/>
              <w:rPr>
                <w:rFonts w:ascii="仿宋" w:hAnsi="仿宋" w:eastAsia="仿宋"/>
                <w:sz w:val="24"/>
              </w:rPr>
            </w:pPr>
            <w:r>
              <w:rPr>
                <w:rFonts w:hint="eastAsia" w:ascii="仿宋" w:hAnsi="仿宋" w:eastAsia="仿宋"/>
                <w:sz w:val="24"/>
              </w:rPr>
              <w:t>合计</w:t>
            </w:r>
          </w:p>
        </w:tc>
        <w:tc>
          <w:tcPr>
            <w:tcW w:w="1520" w:type="dxa"/>
            <w:tcBorders>
              <w:right w:val="double" w:color="auto" w:sz="4" w:space="0"/>
            </w:tcBorders>
            <w:noWrap w:val="0"/>
            <w:vAlign w:val="top"/>
          </w:tcPr>
          <w:p>
            <w:pPr>
              <w:spacing w:line="600" w:lineRule="exact"/>
              <w:jc w:val="center"/>
              <w:rPr>
                <w:rFonts w:ascii="仿宋" w:hAnsi="仿宋" w:eastAsia="仿宋"/>
                <w:sz w:val="24"/>
              </w:rPr>
            </w:pPr>
            <w:r>
              <w:rPr>
                <w:rFonts w:hint="eastAsia" w:ascii="仿宋_GB2312" w:hAnsi="华文中宋" w:eastAsia="仿宋_GB2312"/>
                <w:sz w:val="32"/>
                <w:szCs w:val="32"/>
                <w:lang w:val="en-US" w:eastAsia="zh-CN"/>
              </w:rPr>
              <w:t>12383.2</w:t>
            </w:r>
          </w:p>
        </w:tc>
        <w:tc>
          <w:tcPr>
            <w:tcW w:w="2994" w:type="dxa"/>
            <w:tcBorders>
              <w:left w:val="double" w:color="auto" w:sz="4" w:space="0"/>
            </w:tcBorders>
            <w:noWrap w:val="0"/>
            <w:vAlign w:val="top"/>
          </w:tcPr>
          <w:p>
            <w:pPr>
              <w:spacing w:line="600" w:lineRule="exact"/>
              <w:jc w:val="center"/>
              <w:rPr>
                <w:rFonts w:ascii="仿宋" w:hAnsi="仿宋" w:eastAsia="仿宋"/>
                <w:sz w:val="24"/>
              </w:rPr>
            </w:pPr>
            <w:r>
              <w:rPr>
                <w:rFonts w:hint="eastAsia" w:ascii="仿宋" w:hAnsi="仿宋" w:eastAsia="仿宋"/>
                <w:sz w:val="24"/>
              </w:rPr>
              <w:t>合计</w:t>
            </w:r>
          </w:p>
        </w:tc>
        <w:tc>
          <w:tcPr>
            <w:tcW w:w="1496" w:type="dxa"/>
            <w:noWrap w:val="0"/>
            <w:vAlign w:val="top"/>
          </w:tcPr>
          <w:p>
            <w:pPr>
              <w:spacing w:line="600" w:lineRule="exact"/>
              <w:jc w:val="center"/>
              <w:rPr>
                <w:rFonts w:ascii="仿宋" w:hAnsi="仿宋" w:eastAsia="仿宋"/>
                <w:sz w:val="24"/>
              </w:rPr>
            </w:pPr>
            <w:r>
              <w:rPr>
                <w:rFonts w:hint="eastAsia" w:ascii="仿宋_GB2312" w:hAnsi="华文中宋" w:eastAsia="仿宋_GB2312"/>
                <w:sz w:val="32"/>
                <w:szCs w:val="32"/>
                <w:lang w:val="en-US" w:eastAsia="zh-CN"/>
              </w:rPr>
              <w:t>12383.2</w:t>
            </w:r>
          </w:p>
        </w:tc>
      </w:tr>
    </w:tbl>
    <w:p>
      <w:pPr>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仿宋" w:hAnsi="仿宋" w:eastAsia="仿宋"/>
          <w:sz w:val="32"/>
          <w:szCs w:val="32"/>
        </w:rPr>
        <w:t>街道按照相</w:t>
      </w:r>
      <w:r>
        <w:rPr>
          <w:rFonts w:hint="eastAsia" w:ascii="仿宋" w:hAnsi="仿宋" w:eastAsia="仿宋"/>
          <w:sz w:val="32"/>
          <w:szCs w:val="32"/>
          <w:lang w:eastAsia="zh-CN"/>
        </w:rPr>
        <w:t>关</w:t>
      </w:r>
      <w:r>
        <w:rPr>
          <w:rFonts w:hint="eastAsia" w:ascii="仿宋" w:hAnsi="仿宋" w:eastAsia="仿宋"/>
          <w:sz w:val="32"/>
          <w:szCs w:val="32"/>
        </w:rPr>
        <w:t>法律法规</w:t>
      </w:r>
      <w:r>
        <w:rPr>
          <w:rFonts w:hint="eastAsia" w:ascii="仿宋" w:hAnsi="仿宋" w:eastAsia="仿宋"/>
          <w:sz w:val="32"/>
          <w:szCs w:val="32"/>
          <w:lang w:eastAsia="zh-CN"/>
        </w:rPr>
        <w:t>结合</w:t>
      </w:r>
      <w:r>
        <w:rPr>
          <w:rFonts w:hint="eastAsia" w:ascii="仿宋" w:hAnsi="仿宋" w:eastAsia="仿宋"/>
          <w:sz w:val="32"/>
          <w:szCs w:val="32"/>
        </w:rPr>
        <w:t>部门实际</w:t>
      </w:r>
      <w:r>
        <w:rPr>
          <w:rFonts w:hint="eastAsia" w:ascii="仿宋" w:hAnsi="仿宋" w:eastAsia="仿宋"/>
          <w:sz w:val="32"/>
          <w:szCs w:val="32"/>
          <w:lang w:eastAsia="zh-CN"/>
        </w:rPr>
        <w:t>情况</w:t>
      </w:r>
      <w:r>
        <w:rPr>
          <w:rFonts w:hint="eastAsia" w:ascii="仿宋" w:hAnsi="仿宋" w:eastAsia="仿宋"/>
          <w:sz w:val="32"/>
          <w:szCs w:val="32"/>
        </w:rPr>
        <w:t>，建立健全财务管理制度和约束机制，依法有效地使用财政资金，提高财政资金使用效率，在完成单位目标任务中合理分配人、财、物，使之达到较高的工作效率和水平，提高服务质量，努力完成年初区委区政府下达的各项指标</w:t>
      </w:r>
      <w:r>
        <w:rPr>
          <w:rFonts w:hint="eastAsia" w:ascii="仿宋" w:hAnsi="仿宋" w:eastAsia="仿宋"/>
          <w:sz w:val="32"/>
          <w:szCs w:val="32"/>
          <w:lang w:eastAsia="zh-CN"/>
        </w:rPr>
        <w:t>任务</w:t>
      </w:r>
      <w:r>
        <w:rPr>
          <w:rFonts w:hint="eastAsia" w:ascii="仿宋" w:hAnsi="仿宋" w:eastAsia="仿宋"/>
          <w:sz w:val="32"/>
          <w:szCs w:val="32"/>
        </w:rPr>
        <w:t>。</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文艺路</w:t>
      </w:r>
      <w:r>
        <w:rPr>
          <w:rFonts w:hint="eastAsia" w:ascii="Times New Roman" w:hAnsi="Times New Roman" w:eastAsia="仿宋_GB2312" w:cs="Times New Roman"/>
          <w:sz w:val="32"/>
          <w:szCs w:val="32"/>
        </w:rPr>
        <w:t>街道20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年基本支出共计</w:t>
      </w:r>
      <w:r>
        <w:rPr>
          <w:rFonts w:hint="eastAsia" w:ascii="Times New Roman" w:hAnsi="Times New Roman" w:eastAsia="仿宋_GB2312" w:cs="Times New Roman"/>
          <w:sz w:val="32"/>
          <w:szCs w:val="32"/>
          <w:lang w:val="en-US" w:eastAsia="zh-CN"/>
        </w:rPr>
        <w:t>3311.3</w:t>
      </w:r>
      <w:r>
        <w:rPr>
          <w:rFonts w:hint="eastAsia" w:ascii="Times New Roman" w:hAnsi="Times New Roman" w:eastAsia="仿宋_GB2312" w:cs="Times New Roman"/>
          <w:sz w:val="32"/>
          <w:szCs w:val="32"/>
        </w:rPr>
        <w:t>万元，其中财政拨款基本支出</w:t>
      </w:r>
      <w:r>
        <w:rPr>
          <w:rFonts w:hint="eastAsia" w:ascii="Times New Roman" w:hAnsi="Times New Roman" w:eastAsia="仿宋_GB2312" w:cs="Times New Roman"/>
          <w:sz w:val="32"/>
          <w:szCs w:val="32"/>
          <w:lang w:val="en-US" w:eastAsia="zh-CN"/>
        </w:rPr>
        <w:t>3286.75</w:t>
      </w:r>
      <w:r>
        <w:rPr>
          <w:rFonts w:hint="eastAsia" w:ascii="Times New Roman" w:hAnsi="Times New Roman" w:eastAsia="仿宋_GB2312" w:cs="Times New Roman"/>
          <w:sz w:val="32"/>
          <w:szCs w:val="32"/>
        </w:rPr>
        <w:t>万元，其他资金基本支出</w:t>
      </w:r>
      <w:r>
        <w:rPr>
          <w:rFonts w:hint="eastAsia" w:ascii="Times New Roman" w:hAnsi="Times New Roman" w:eastAsia="仿宋_GB2312" w:cs="Times New Roman"/>
          <w:sz w:val="32"/>
          <w:szCs w:val="32"/>
          <w:lang w:val="en-US" w:eastAsia="zh-CN"/>
        </w:rPr>
        <w:t>24.55</w:t>
      </w:r>
      <w:r>
        <w:rPr>
          <w:rFonts w:hint="eastAsia" w:ascii="Times New Roman" w:hAnsi="Times New Roman" w:eastAsia="仿宋_GB2312" w:cs="Times New Roman"/>
          <w:sz w:val="32"/>
          <w:szCs w:val="32"/>
        </w:rPr>
        <w:t>万元。基本支出主要用于街道人员经费和日常公用经费，其中基本工资、津贴补贴、</w:t>
      </w:r>
      <w:r>
        <w:rPr>
          <w:rFonts w:hint="eastAsia" w:ascii="Times New Roman" w:hAnsi="Times New Roman" w:eastAsia="仿宋_GB2312" w:cs="Times New Roman"/>
          <w:sz w:val="32"/>
          <w:szCs w:val="32"/>
          <w:lang w:eastAsia="zh-CN"/>
        </w:rPr>
        <w:t>奖金、住房公积金、</w:t>
      </w:r>
      <w:r>
        <w:rPr>
          <w:rFonts w:hint="eastAsia" w:ascii="Times New Roman" w:hAnsi="Times New Roman" w:eastAsia="仿宋_GB2312" w:cs="Times New Roman"/>
          <w:sz w:val="32"/>
          <w:szCs w:val="32"/>
        </w:rPr>
        <w:t>其他工资福利支出、退休费、其他对家庭和个人的补助等人员经费</w:t>
      </w:r>
      <w:r>
        <w:rPr>
          <w:rFonts w:hint="eastAsia" w:ascii="Times New Roman" w:hAnsi="Times New Roman" w:eastAsia="仿宋_GB2312" w:cs="Times New Roman"/>
          <w:sz w:val="32"/>
          <w:szCs w:val="32"/>
          <w:lang w:val="en-US" w:eastAsia="zh-CN"/>
        </w:rPr>
        <w:t>3156.91</w:t>
      </w:r>
      <w:r>
        <w:rPr>
          <w:rFonts w:hint="eastAsia" w:ascii="Times New Roman" w:hAnsi="Times New Roman" w:eastAsia="仿宋_GB2312" w:cs="Times New Roman"/>
          <w:sz w:val="32"/>
          <w:szCs w:val="32"/>
        </w:rPr>
        <w:t>万元，占基本支出的</w:t>
      </w:r>
      <w:r>
        <w:rPr>
          <w:rFonts w:hint="eastAsia" w:ascii="Times New Roman" w:hAnsi="Times New Roman" w:eastAsia="仿宋_GB2312" w:cs="Times New Roman"/>
          <w:sz w:val="32"/>
          <w:szCs w:val="32"/>
          <w:lang w:val="en-US" w:eastAsia="zh-CN"/>
        </w:rPr>
        <w:t>95.34</w:t>
      </w:r>
      <w:r>
        <w:rPr>
          <w:rFonts w:hint="eastAsia" w:ascii="Times New Roman" w:hAnsi="Times New Roman" w:eastAsia="仿宋_GB2312" w:cs="Times New Roman"/>
          <w:sz w:val="32"/>
          <w:szCs w:val="32"/>
        </w:rPr>
        <w:t>%；办公费、水电费、邮电费、</w:t>
      </w:r>
      <w:r>
        <w:rPr>
          <w:rFonts w:hint="eastAsia" w:ascii="Times New Roman" w:hAnsi="Times New Roman" w:eastAsia="仿宋_GB2312" w:cs="Times New Roman"/>
          <w:sz w:val="32"/>
          <w:szCs w:val="32"/>
          <w:lang w:eastAsia="zh-CN"/>
        </w:rPr>
        <w:t>印刷费、</w:t>
      </w:r>
      <w:r>
        <w:rPr>
          <w:rFonts w:hint="eastAsia" w:ascii="Times New Roman" w:hAnsi="Times New Roman" w:eastAsia="仿宋_GB2312" w:cs="Times New Roman"/>
          <w:sz w:val="32"/>
          <w:szCs w:val="32"/>
        </w:rPr>
        <w:t>维修费、</w:t>
      </w:r>
      <w:r>
        <w:rPr>
          <w:rFonts w:hint="eastAsia" w:ascii="Times New Roman" w:hAnsi="Times New Roman" w:eastAsia="仿宋_GB2312" w:cs="Times New Roman"/>
          <w:sz w:val="32"/>
          <w:szCs w:val="32"/>
          <w:lang w:eastAsia="zh-CN"/>
        </w:rPr>
        <w:t>劳务费、其他商品和服务支出、</w:t>
      </w:r>
      <w:r>
        <w:rPr>
          <w:rFonts w:hint="eastAsia" w:ascii="Times New Roman" w:hAnsi="Times New Roman" w:eastAsia="仿宋_GB2312" w:cs="Times New Roman"/>
          <w:sz w:val="32"/>
          <w:szCs w:val="32"/>
        </w:rPr>
        <w:t>办公设备购置等日常公用经费</w:t>
      </w:r>
      <w:r>
        <w:rPr>
          <w:rFonts w:hint="eastAsia" w:ascii="Times New Roman" w:hAnsi="Times New Roman" w:eastAsia="仿宋_GB2312" w:cs="Times New Roman"/>
          <w:sz w:val="32"/>
          <w:szCs w:val="32"/>
          <w:lang w:val="en-US" w:eastAsia="zh-CN"/>
        </w:rPr>
        <w:t>154.39</w:t>
      </w:r>
      <w:r>
        <w:rPr>
          <w:rFonts w:hint="eastAsia" w:ascii="Times New Roman" w:hAnsi="Times New Roman" w:eastAsia="仿宋_GB2312" w:cs="Times New Roman"/>
          <w:sz w:val="32"/>
          <w:szCs w:val="32"/>
        </w:rPr>
        <w:t>万元，占基本支出的</w:t>
      </w:r>
      <w:r>
        <w:rPr>
          <w:rFonts w:hint="eastAsia" w:ascii="Times New Roman" w:hAnsi="Times New Roman" w:eastAsia="仿宋_GB2312" w:cs="Times New Roman"/>
          <w:sz w:val="32"/>
          <w:szCs w:val="32"/>
          <w:lang w:val="en-US" w:eastAsia="zh-CN"/>
        </w:rPr>
        <w:t>4.66</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文艺路</w:t>
      </w:r>
      <w:r>
        <w:rPr>
          <w:rFonts w:hint="eastAsia" w:ascii="Times New Roman" w:hAnsi="Times New Roman" w:eastAsia="仿宋_GB2312" w:cs="Times New Roman"/>
          <w:sz w:val="32"/>
          <w:szCs w:val="32"/>
        </w:rPr>
        <w:t>街道20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年“三公”经费支出共计</w:t>
      </w:r>
      <w:r>
        <w:rPr>
          <w:rFonts w:hint="eastAsia" w:ascii="Times New Roman" w:hAnsi="Times New Roman" w:eastAsia="仿宋_GB2312" w:cs="Times New Roman"/>
          <w:sz w:val="32"/>
          <w:szCs w:val="32"/>
          <w:lang w:val="en-US" w:eastAsia="zh-CN"/>
        </w:rPr>
        <w:t>1.04</w:t>
      </w:r>
      <w:r>
        <w:rPr>
          <w:rFonts w:hint="eastAsia" w:ascii="Times New Roman" w:hAnsi="Times New Roman" w:eastAsia="仿宋_GB2312" w:cs="Times New Roman"/>
          <w:sz w:val="32"/>
          <w:szCs w:val="32"/>
        </w:rPr>
        <w:t>万元，上年“三公”经费支出</w:t>
      </w:r>
      <w:r>
        <w:rPr>
          <w:rFonts w:hint="eastAsia" w:ascii="Times New Roman" w:hAnsi="Times New Roman" w:eastAsia="仿宋_GB2312" w:cs="Times New Roman"/>
          <w:sz w:val="32"/>
          <w:szCs w:val="32"/>
          <w:lang w:val="en-US" w:eastAsia="zh-CN"/>
        </w:rPr>
        <w:t>1.42</w:t>
      </w:r>
      <w:r>
        <w:rPr>
          <w:rFonts w:hint="eastAsia" w:ascii="Times New Roman" w:hAnsi="Times New Roman" w:eastAsia="仿宋_GB2312" w:cs="Times New Roman"/>
          <w:sz w:val="32"/>
          <w:szCs w:val="32"/>
        </w:rPr>
        <w:t>万元，同比上年</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26.76</w:t>
      </w:r>
      <w:r>
        <w:rPr>
          <w:rFonts w:hint="eastAsia" w:ascii="Times New Roman" w:hAnsi="Times New Roman" w:eastAsia="仿宋_GB2312" w:cs="Times New Roman"/>
          <w:sz w:val="32"/>
          <w:szCs w:val="32"/>
        </w:rPr>
        <w:t>%。其中，20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年公务接待费0万元，上年公务接待费0万元，对比上年没有变化；20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年公务用车购置及运行维护费</w:t>
      </w:r>
      <w:r>
        <w:rPr>
          <w:rFonts w:hint="eastAsia" w:ascii="Times New Roman" w:hAnsi="Times New Roman" w:eastAsia="仿宋_GB2312" w:cs="Times New Roman"/>
          <w:sz w:val="32"/>
          <w:szCs w:val="32"/>
          <w:lang w:val="en-US" w:eastAsia="zh-CN"/>
        </w:rPr>
        <w:t>1.04</w:t>
      </w:r>
      <w:r>
        <w:rPr>
          <w:rFonts w:hint="eastAsia" w:ascii="Times New Roman" w:hAnsi="Times New Roman" w:eastAsia="仿宋_GB2312" w:cs="Times New Roman"/>
          <w:sz w:val="32"/>
          <w:szCs w:val="32"/>
        </w:rPr>
        <w:t>万元，上年公务用车购置及运行维护费</w:t>
      </w:r>
      <w:r>
        <w:rPr>
          <w:rFonts w:hint="eastAsia" w:ascii="Times New Roman" w:hAnsi="Times New Roman" w:eastAsia="仿宋_GB2312" w:cs="Times New Roman"/>
          <w:sz w:val="32"/>
          <w:szCs w:val="32"/>
          <w:lang w:val="en-US" w:eastAsia="zh-CN"/>
        </w:rPr>
        <w:t>1.42</w:t>
      </w:r>
      <w:r>
        <w:rPr>
          <w:rFonts w:hint="eastAsia" w:ascii="Times New Roman" w:hAnsi="Times New Roman" w:eastAsia="仿宋_GB2312" w:cs="Times New Roman"/>
          <w:sz w:val="32"/>
          <w:szCs w:val="32"/>
        </w:rPr>
        <w:t>万元，同比上年</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26.76</w:t>
      </w:r>
      <w:r>
        <w:rPr>
          <w:rFonts w:hint="eastAsia"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2021年，文艺路街道办事处严格按照上级规定使用“三公”经费，严格按照区财政局的相关要求，按时在网上公开预算、决算说明，接受社会监督，并向财政局对口业务科室报送相关材料。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rPr>
        <w:t>年，为保障完成特定的行政工作任务或事业发展目标，街道用于专项业务工作的经费支出</w:t>
      </w:r>
      <w:r>
        <w:rPr>
          <w:rFonts w:hint="eastAsia" w:ascii="仿宋_GB2312" w:hAnsi="华文中宋" w:eastAsia="仿宋_GB2312"/>
          <w:sz w:val="32"/>
          <w:szCs w:val="32"/>
          <w:lang w:val="en-US" w:eastAsia="zh-CN"/>
        </w:rPr>
        <w:t>9071.9</w:t>
      </w:r>
      <w:r>
        <w:rPr>
          <w:rFonts w:hint="eastAsia" w:ascii="Times New Roman" w:hAnsi="Times New Roman" w:eastAsia="仿宋_GB2312" w:cs="Times New Roman"/>
          <w:sz w:val="32"/>
          <w:szCs w:val="32"/>
          <w:lang w:val="en-US" w:eastAsia="zh-CN"/>
        </w:rPr>
        <w:t>万</w:t>
      </w:r>
      <w:r>
        <w:rPr>
          <w:rFonts w:hint="eastAsia" w:ascii="Times New Roman" w:hAnsi="Times New Roman" w:eastAsia="仿宋_GB2312" w:cs="Times New Roman"/>
          <w:sz w:val="32"/>
          <w:szCs w:val="32"/>
        </w:rPr>
        <w:t>元。具体项目开支情况如下：</w:t>
      </w:r>
    </w:p>
    <w:tbl>
      <w:tblPr>
        <w:tblStyle w:val="6"/>
        <w:tblW w:w="7125" w:type="dxa"/>
        <w:tblInd w:w="4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3"/>
        <w:gridCol w:w="3512"/>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项目代码</w:t>
            </w:r>
          </w:p>
        </w:tc>
        <w:tc>
          <w:tcPr>
            <w:tcW w:w="35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35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计生专项经费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民政专项经费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城管执法中队</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文明创建专项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城管专项经费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残联专项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文体专项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安全生产专项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纪检专项经费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政法专项经费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人社局专项经费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人大专项经费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国企国资维稳经费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环卫所专项经费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农博会专项经费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财政局专项经费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2702</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两保及社区人员经费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2703</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社区惠民经费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2704</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社区戒毒经费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2705</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社区党建经费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2707</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社区工作经费（含社区教育）</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综合项目经费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财税经费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4819.90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公安专项经费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食安专项经费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退役军人服务中心工作经费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新型冠状病毒防控专项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综合预算</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慈善会专项经费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宣传专项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三公一业经费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附二医院周边环境整治经费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信访专项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市场监督局专项经费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综合运转经费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999</w:t>
            </w: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0.7</w:t>
            </w:r>
            <w:r>
              <w:rPr>
                <w:rFonts w:hint="eastAsia" w:ascii="宋体" w:hAnsi="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9071.90</w:t>
            </w:r>
          </w:p>
        </w:tc>
      </w:tr>
    </w:tbl>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文艺路</w:t>
      </w:r>
      <w:r>
        <w:rPr>
          <w:rFonts w:hint="eastAsia" w:ascii="Times New Roman" w:hAnsi="Times New Roman" w:eastAsia="仿宋_GB2312" w:cs="Times New Roman"/>
          <w:sz w:val="32"/>
          <w:szCs w:val="32"/>
        </w:rPr>
        <w:t>街道办事处根据国家相关</w:t>
      </w:r>
      <w:r>
        <w:rPr>
          <w:rFonts w:hint="eastAsia" w:ascii="Times New Roman" w:hAnsi="Times New Roman" w:eastAsia="仿宋_GB2312" w:cs="Times New Roman"/>
          <w:sz w:val="32"/>
          <w:szCs w:val="32"/>
          <w:lang w:eastAsia="zh-CN"/>
        </w:rPr>
        <w:t>法律</w:t>
      </w:r>
      <w:r>
        <w:rPr>
          <w:rFonts w:hint="eastAsia" w:ascii="Times New Roman" w:hAnsi="Times New Roman" w:eastAsia="仿宋_GB2312" w:cs="Times New Roman"/>
          <w:sz w:val="32"/>
          <w:szCs w:val="32"/>
        </w:rPr>
        <w:t>法规的规定，结合单位实际</w:t>
      </w:r>
      <w:r>
        <w:rPr>
          <w:rFonts w:hint="eastAsia" w:ascii="Times New Roman" w:hAnsi="Times New Roman" w:eastAsia="仿宋_GB2312" w:cs="Times New Roman"/>
          <w:sz w:val="32"/>
          <w:szCs w:val="32"/>
          <w:lang w:eastAsia="zh-CN"/>
        </w:rPr>
        <w:t>情况</w:t>
      </w:r>
      <w:r>
        <w:rPr>
          <w:rFonts w:hint="eastAsia" w:ascii="Times New Roman" w:hAnsi="Times New Roman" w:eastAsia="仿宋_GB2312" w:cs="Times New Roman"/>
          <w:sz w:val="32"/>
          <w:szCs w:val="32"/>
        </w:rPr>
        <w:t>，明确了人员分工及工作职责，建立健全了机关管理制度，实行制度管人、管事、管权。进一步完善了财务管理制度，制定了《</w:t>
      </w:r>
      <w:r>
        <w:rPr>
          <w:rFonts w:hint="eastAsia" w:ascii="Times New Roman" w:hAnsi="Times New Roman" w:eastAsia="仿宋_GB2312" w:cs="Times New Roman"/>
          <w:sz w:val="32"/>
          <w:szCs w:val="32"/>
          <w:lang w:eastAsia="zh-CN"/>
        </w:rPr>
        <w:t>文艺路街道财务管理办法</w:t>
      </w:r>
      <w:r>
        <w:rPr>
          <w:rFonts w:hint="eastAsia" w:ascii="Times New Roman" w:hAnsi="Times New Roman" w:eastAsia="仿宋_GB2312" w:cs="Times New Roman"/>
          <w:sz w:val="32"/>
          <w:szCs w:val="32"/>
        </w:rPr>
        <w:t>》、《收入支出管理</w:t>
      </w:r>
      <w:r>
        <w:rPr>
          <w:rFonts w:hint="eastAsia" w:ascii="Times New Roman" w:hAnsi="Times New Roman" w:eastAsia="仿宋_GB2312" w:cs="Times New Roman"/>
          <w:sz w:val="32"/>
          <w:szCs w:val="32"/>
          <w:lang w:eastAsia="zh-CN"/>
        </w:rPr>
        <w:t>制度</w:t>
      </w:r>
      <w:r>
        <w:rPr>
          <w:rFonts w:hint="eastAsia" w:ascii="Times New Roman" w:hAnsi="Times New Roman" w:eastAsia="仿宋_GB2312" w:cs="Times New Roman"/>
          <w:sz w:val="32"/>
          <w:szCs w:val="32"/>
        </w:rPr>
        <w:t>》、《政府采购管理制度》、《国有资产管理制度》等规章制度，对资金、物资进行管理和使用；严格按照财经纪律规范和使用财政资金，做到资金的使用均有完整的审批程序，并实行专人管理、转账核算、专款专用原则，使财政收支预算执行取到良好的实施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Cs/>
          <w:sz w:val="32"/>
          <w:szCs w:val="32"/>
        </w:rPr>
        <w:t>三、部门项目组织实施情况</w:t>
      </w:r>
    </w:p>
    <w:p>
      <w:pPr>
        <w:pStyle w:val="2"/>
        <w:rPr>
          <w:rFonts w:hint="default" w:ascii="Times New Roman" w:hAnsi="Times New Roman" w:eastAsia="仿宋_GB2312" w:cs="Times New Roman"/>
          <w:sz w:val="32"/>
          <w:szCs w:val="32"/>
        </w:rPr>
      </w:pPr>
      <w:r>
        <w:rPr>
          <w:rFonts w:hint="eastAsia" w:ascii="Times New Roman" w:hAnsi="Times New Roman" w:eastAsia="仿宋_GB2312" w:cs="Times New Roman"/>
          <w:kern w:val="2"/>
          <w:sz w:val="32"/>
          <w:szCs w:val="32"/>
          <w:lang w:val="en-US" w:eastAsia="zh-CN" w:bidi="ar-SA"/>
        </w:rPr>
        <w:t>文艺路街道办事处制定了项目管理制度，包括《工程项目管理制度》、《建设项目财务管理规则》、《建设项目成本管理规定》、《建设项目竣工财务决算管理暂行办法》等。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Cs/>
          <w:sz w:val="32"/>
          <w:szCs w:val="32"/>
        </w:rPr>
        <w:t>四、资产管理情况</w:t>
      </w:r>
    </w:p>
    <w:p>
      <w:pPr>
        <w:adjustRightInd w:val="0"/>
        <w:snapToGrid w:val="0"/>
        <w:spacing w:line="560" w:lineRule="exact"/>
        <w:ind w:firstLine="643" w:firstLineChars="200"/>
        <w:rPr>
          <w:rFonts w:eastAsia="仿宋_GB2312"/>
          <w:b/>
          <w:bCs/>
          <w:sz w:val="32"/>
          <w:szCs w:val="32"/>
        </w:rPr>
      </w:pPr>
      <w:r>
        <w:rPr>
          <w:rFonts w:hint="eastAsia" w:eastAsia="仿宋_GB2312"/>
          <w:b/>
          <w:bCs/>
          <w:sz w:val="32"/>
          <w:szCs w:val="32"/>
        </w:rPr>
        <w:t>（一）资产情况分析</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1、总量、变动、构成情况。</w:t>
      </w:r>
    </w:p>
    <w:p>
      <w:pPr>
        <w:adjustRightInd w:val="0"/>
        <w:snapToGrid w:val="0"/>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sz w:val="32"/>
          <w:szCs w:val="32"/>
        </w:rPr>
        <w:t>截至20</w:t>
      </w:r>
      <w:r>
        <w:rPr>
          <w:rFonts w:hint="eastAsia" w:ascii="仿宋" w:hAnsi="仿宋" w:eastAsia="仿宋"/>
          <w:sz w:val="32"/>
          <w:szCs w:val="32"/>
          <w:lang w:val="en-US" w:eastAsia="zh-CN"/>
        </w:rPr>
        <w:t>21</w:t>
      </w:r>
      <w:r>
        <w:rPr>
          <w:rFonts w:hint="eastAsia" w:ascii="仿宋" w:hAnsi="仿宋" w:eastAsia="仿宋"/>
          <w:sz w:val="32"/>
          <w:szCs w:val="32"/>
        </w:rPr>
        <w:t>年底，</w:t>
      </w:r>
      <w:r>
        <w:rPr>
          <w:rFonts w:hint="eastAsia" w:ascii="仿宋" w:hAnsi="仿宋" w:eastAsia="仿宋"/>
          <w:sz w:val="32"/>
          <w:szCs w:val="32"/>
          <w:lang w:eastAsia="zh-CN"/>
        </w:rPr>
        <w:t>文艺路街道</w:t>
      </w:r>
      <w:r>
        <w:rPr>
          <w:rFonts w:hint="eastAsia" w:ascii="仿宋" w:hAnsi="仿宋" w:eastAsia="仿宋"/>
          <w:sz w:val="32"/>
          <w:szCs w:val="32"/>
        </w:rPr>
        <w:t>资产总额为</w:t>
      </w:r>
      <w:r>
        <w:rPr>
          <w:rFonts w:hint="eastAsia" w:ascii="仿宋" w:hAnsi="仿宋" w:eastAsia="仿宋"/>
          <w:sz w:val="32"/>
          <w:szCs w:val="32"/>
          <w:lang w:val="en-US" w:eastAsia="zh-CN"/>
        </w:rPr>
        <w:t>22364.93</w:t>
      </w:r>
      <w:r>
        <w:rPr>
          <w:rFonts w:hint="eastAsia" w:ascii="仿宋" w:hAnsi="仿宋" w:eastAsia="仿宋"/>
          <w:sz w:val="32"/>
          <w:szCs w:val="32"/>
        </w:rPr>
        <w:t>万元，其中流动资产</w:t>
      </w:r>
      <w:r>
        <w:rPr>
          <w:rFonts w:hint="eastAsia" w:ascii="仿宋" w:hAnsi="仿宋" w:eastAsia="仿宋"/>
          <w:sz w:val="32"/>
          <w:szCs w:val="32"/>
          <w:lang w:val="en-US" w:eastAsia="zh-CN"/>
        </w:rPr>
        <w:t>22149.15</w:t>
      </w:r>
      <w:r>
        <w:rPr>
          <w:rFonts w:hint="eastAsia" w:ascii="仿宋" w:hAnsi="仿宋" w:eastAsia="仿宋"/>
          <w:sz w:val="32"/>
          <w:szCs w:val="32"/>
        </w:rPr>
        <w:t>万元，占比</w:t>
      </w:r>
      <w:r>
        <w:rPr>
          <w:rFonts w:hint="eastAsia" w:ascii="仿宋" w:hAnsi="仿宋" w:eastAsia="仿宋"/>
          <w:sz w:val="32"/>
          <w:szCs w:val="32"/>
          <w:lang w:val="en-US" w:eastAsia="zh-CN"/>
        </w:rPr>
        <w:t>99.04</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固定资产净值</w:t>
      </w:r>
      <w:r>
        <w:rPr>
          <w:rFonts w:hint="eastAsia" w:ascii="仿宋" w:hAnsi="仿宋" w:eastAsia="仿宋"/>
          <w:sz w:val="32"/>
          <w:szCs w:val="32"/>
          <w:lang w:val="en-US" w:eastAsia="zh-CN"/>
        </w:rPr>
        <w:t>213.42</w:t>
      </w:r>
      <w:r>
        <w:rPr>
          <w:rFonts w:hint="eastAsia" w:ascii="仿宋" w:hAnsi="仿宋" w:eastAsia="仿宋"/>
          <w:sz w:val="32"/>
          <w:szCs w:val="32"/>
        </w:rPr>
        <w:t>万元，占比</w:t>
      </w:r>
      <w:r>
        <w:rPr>
          <w:rFonts w:hint="eastAsia" w:ascii="仿宋" w:hAnsi="仿宋" w:eastAsia="仿宋"/>
          <w:sz w:val="32"/>
          <w:szCs w:val="32"/>
          <w:lang w:val="en-US" w:eastAsia="zh-CN"/>
        </w:rPr>
        <w:t>0.95</w:t>
      </w:r>
      <w:r>
        <w:rPr>
          <w:rFonts w:hint="eastAsia" w:ascii="仿宋" w:hAnsi="仿宋" w:eastAsia="仿宋"/>
          <w:sz w:val="32"/>
          <w:szCs w:val="32"/>
        </w:rPr>
        <w:t>%</w:t>
      </w:r>
      <w:r>
        <w:rPr>
          <w:rFonts w:hint="eastAsia" w:ascii="仿宋" w:hAnsi="仿宋" w:eastAsia="仿宋"/>
          <w:sz w:val="32"/>
          <w:szCs w:val="32"/>
          <w:lang w:eastAsia="zh-CN"/>
        </w:rPr>
        <w:t>；无形资产净值</w:t>
      </w:r>
      <w:r>
        <w:rPr>
          <w:rFonts w:hint="eastAsia" w:ascii="仿宋" w:hAnsi="仿宋" w:eastAsia="仿宋"/>
          <w:sz w:val="32"/>
          <w:szCs w:val="32"/>
          <w:lang w:val="en-US" w:eastAsia="zh-CN"/>
        </w:rPr>
        <w:t>2.36万元，占比0.01%。流动资产为其他应收款22149.15万元，主要为</w:t>
      </w:r>
      <w:r>
        <w:rPr>
          <w:rFonts w:hint="eastAsia" w:ascii="仿宋_GB2312" w:hAnsi="仿宋" w:eastAsia="仿宋_GB2312"/>
          <w:color w:val="000000"/>
          <w:sz w:val="32"/>
          <w:szCs w:val="32"/>
          <w:lang w:eastAsia="zh-CN"/>
        </w:rPr>
        <w:t>应收限售股奖励经费</w:t>
      </w:r>
      <w:r>
        <w:rPr>
          <w:rFonts w:hint="eastAsia" w:ascii="仿宋_GB2312" w:hAnsi="仿宋" w:eastAsia="仿宋_GB2312"/>
          <w:color w:val="000000"/>
          <w:sz w:val="32"/>
          <w:szCs w:val="32"/>
          <w:lang w:val="en-US" w:eastAsia="zh-CN"/>
        </w:rPr>
        <w:t>。</w:t>
      </w:r>
      <w:r>
        <w:rPr>
          <w:rFonts w:hint="eastAsia" w:ascii="仿宋" w:hAnsi="仿宋" w:eastAsia="仿宋"/>
          <w:sz w:val="32"/>
          <w:szCs w:val="32"/>
        </w:rPr>
        <w:t>固定资产账面原值总计</w:t>
      </w:r>
      <w:r>
        <w:rPr>
          <w:rFonts w:hint="eastAsia" w:ascii="仿宋" w:hAnsi="仿宋" w:eastAsia="仿宋"/>
          <w:sz w:val="32"/>
          <w:szCs w:val="32"/>
          <w:lang w:val="en-US" w:eastAsia="zh-CN"/>
        </w:rPr>
        <w:t>501.93</w:t>
      </w:r>
      <w:r>
        <w:rPr>
          <w:rFonts w:hint="eastAsia" w:ascii="仿宋" w:hAnsi="仿宋" w:eastAsia="仿宋"/>
          <w:sz w:val="32"/>
          <w:szCs w:val="32"/>
        </w:rPr>
        <w:t>万元，累计折旧</w:t>
      </w:r>
      <w:r>
        <w:rPr>
          <w:rFonts w:hint="eastAsia" w:ascii="仿宋" w:hAnsi="仿宋" w:eastAsia="仿宋"/>
          <w:sz w:val="32"/>
          <w:szCs w:val="32"/>
          <w:lang w:val="en-US" w:eastAsia="zh-CN"/>
        </w:rPr>
        <w:t>288.51</w:t>
      </w:r>
      <w:r>
        <w:rPr>
          <w:rFonts w:hint="eastAsia" w:ascii="仿宋" w:hAnsi="仿宋" w:eastAsia="仿宋"/>
          <w:sz w:val="32"/>
          <w:szCs w:val="32"/>
        </w:rPr>
        <w:t>万元，</w:t>
      </w:r>
      <w:r>
        <w:rPr>
          <w:rFonts w:hint="eastAsia" w:ascii="仿宋" w:hAnsi="仿宋" w:eastAsia="仿宋"/>
          <w:color w:val="auto"/>
          <w:sz w:val="32"/>
          <w:szCs w:val="32"/>
        </w:rPr>
        <w:t>账面净值</w:t>
      </w:r>
      <w:r>
        <w:rPr>
          <w:rFonts w:hint="eastAsia" w:ascii="仿宋" w:hAnsi="仿宋" w:eastAsia="仿宋"/>
          <w:color w:val="auto"/>
          <w:sz w:val="32"/>
          <w:szCs w:val="32"/>
          <w:lang w:val="en-US" w:eastAsia="zh-CN"/>
        </w:rPr>
        <w:t>213.42</w:t>
      </w:r>
      <w:r>
        <w:rPr>
          <w:rFonts w:hint="eastAsia" w:ascii="仿宋" w:hAnsi="仿宋" w:eastAsia="仿宋"/>
          <w:color w:val="auto"/>
          <w:sz w:val="32"/>
          <w:szCs w:val="32"/>
        </w:rPr>
        <w:t>万元，其中土地、房屋及构筑物净值</w:t>
      </w:r>
      <w:r>
        <w:rPr>
          <w:rFonts w:hint="eastAsia" w:ascii="仿宋" w:hAnsi="仿宋" w:eastAsia="仿宋"/>
          <w:color w:val="auto"/>
          <w:sz w:val="32"/>
          <w:szCs w:val="32"/>
          <w:lang w:val="en-US" w:eastAsia="zh-CN"/>
        </w:rPr>
        <w:t>91.51</w:t>
      </w:r>
      <w:r>
        <w:rPr>
          <w:rFonts w:hint="eastAsia" w:ascii="仿宋" w:hAnsi="仿宋" w:eastAsia="仿宋"/>
          <w:color w:val="auto"/>
          <w:sz w:val="32"/>
          <w:szCs w:val="32"/>
        </w:rPr>
        <w:t>万元，占比</w:t>
      </w:r>
      <w:r>
        <w:rPr>
          <w:rFonts w:hint="eastAsia" w:ascii="仿宋" w:hAnsi="仿宋" w:eastAsia="仿宋"/>
          <w:color w:val="auto"/>
          <w:sz w:val="32"/>
          <w:szCs w:val="32"/>
          <w:lang w:val="en-US" w:eastAsia="zh-CN"/>
        </w:rPr>
        <w:t>42.88</w:t>
      </w:r>
      <w:r>
        <w:rPr>
          <w:rFonts w:hint="eastAsia" w:ascii="仿宋" w:hAnsi="仿宋" w:eastAsia="仿宋"/>
          <w:color w:val="auto"/>
          <w:sz w:val="32"/>
          <w:szCs w:val="32"/>
        </w:rPr>
        <w:t>%；通用设备净值</w:t>
      </w:r>
      <w:r>
        <w:rPr>
          <w:rFonts w:hint="eastAsia" w:ascii="仿宋" w:hAnsi="仿宋" w:eastAsia="仿宋"/>
          <w:color w:val="auto"/>
          <w:sz w:val="32"/>
          <w:szCs w:val="32"/>
          <w:lang w:val="en-US" w:eastAsia="zh-CN"/>
        </w:rPr>
        <w:t>70.49</w:t>
      </w:r>
      <w:r>
        <w:rPr>
          <w:rFonts w:hint="eastAsia" w:ascii="仿宋" w:hAnsi="仿宋" w:eastAsia="仿宋"/>
          <w:color w:val="auto"/>
          <w:sz w:val="32"/>
          <w:szCs w:val="32"/>
        </w:rPr>
        <w:t>万元，占比</w:t>
      </w:r>
      <w:r>
        <w:rPr>
          <w:rFonts w:hint="eastAsia" w:ascii="仿宋" w:hAnsi="仿宋" w:eastAsia="仿宋"/>
          <w:color w:val="auto"/>
          <w:sz w:val="32"/>
          <w:szCs w:val="32"/>
          <w:lang w:val="en-US" w:eastAsia="zh-CN"/>
        </w:rPr>
        <w:t>33.03</w:t>
      </w:r>
      <w:r>
        <w:rPr>
          <w:rFonts w:hint="eastAsia" w:ascii="仿宋" w:hAnsi="仿宋" w:eastAsia="仿宋"/>
          <w:color w:val="auto"/>
          <w:sz w:val="32"/>
          <w:szCs w:val="32"/>
        </w:rPr>
        <w:t>%；专用设备净值</w:t>
      </w:r>
      <w:r>
        <w:rPr>
          <w:rFonts w:hint="eastAsia" w:ascii="仿宋" w:hAnsi="仿宋" w:eastAsia="仿宋"/>
          <w:color w:val="auto"/>
          <w:sz w:val="32"/>
          <w:szCs w:val="32"/>
          <w:lang w:val="en-US" w:eastAsia="zh-CN"/>
        </w:rPr>
        <w:t>13</w:t>
      </w:r>
      <w:r>
        <w:rPr>
          <w:rFonts w:hint="eastAsia" w:ascii="仿宋" w:hAnsi="仿宋" w:eastAsia="仿宋"/>
          <w:color w:val="auto"/>
          <w:sz w:val="32"/>
          <w:szCs w:val="32"/>
        </w:rPr>
        <w:t>万元，占比</w:t>
      </w:r>
      <w:r>
        <w:rPr>
          <w:rFonts w:hint="eastAsia" w:ascii="仿宋" w:hAnsi="仿宋" w:eastAsia="仿宋"/>
          <w:color w:val="auto"/>
          <w:sz w:val="32"/>
          <w:szCs w:val="32"/>
          <w:lang w:val="en-US" w:eastAsia="zh-CN"/>
        </w:rPr>
        <w:t>6.09</w:t>
      </w:r>
      <w:r>
        <w:rPr>
          <w:rFonts w:hint="eastAsia" w:ascii="仿宋" w:hAnsi="仿宋" w:eastAsia="仿宋"/>
          <w:color w:val="auto"/>
          <w:sz w:val="32"/>
          <w:szCs w:val="32"/>
        </w:rPr>
        <w:t>%；家具、用具、装具及动植物净值</w:t>
      </w:r>
      <w:r>
        <w:rPr>
          <w:rFonts w:hint="eastAsia" w:ascii="仿宋" w:hAnsi="仿宋" w:eastAsia="仿宋"/>
          <w:color w:val="auto"/>
          <w:sz w:val="32"/>
          <w:szCs w:val="32"/>
          <w:lang w:val="en-US" w:eastAsia="zh-CN"/>
        </w:rPr>
        <w:t>38.42</w:t>
      </w:r>
      <w:r>
        <w:rPr>
          <w:rFonts w:hint="eastAsia" w:ascii="仿宋" w:hAnsi="仿宋" w:eastAsia="仿宋"/>
          <w:color w:val="auto"/>
          <w:sz w:val="32"/>
          <w:szCs w:val="32"/>
        </w:rPr>
        <w:t>万，占比</w:t>
      </w:r>
      <w:r>
        <w:rPr>
          <w:rFonts w:hint="eastAsia" w:ascii="仿宋" w:hAnsi="仿宋" w:eastAsia="仿宋"/>
          <w:color w:val="auto"/>
          <w:sz w:val="32"/>
          <w:szCs w:val="32"/>
          <w:lang w:val="en-US" w:eastAsia="zh-CN"/>
        </w:rPr>
        <w:t>18</w:t>
      </w:r>
      <w:r>
        <w:rPr>
          <w:rFonts w:hint="eastAsia" w:ascii="仿宋" w:hAnsi="仿宋" w:eastAsia="仿宋"/>
          <w:color w:val="auto"/>
          <w:sz w:val="32"/>
          <w:szCs w:val="32"/>
        </w:rPr>
        <w:t>%。</w:t>
      </w:r>
      <w:r>
        <w:rPr>
          <w:rFonts w:hint="eastAsia" w:ascii="仿宋" w:hAnsi="仿宋" w:eastAsia="仿宋"/>
          <w:color w:val="auto"/>
          <w:sz w:val="32"/>
          <w:szCs w:val="32"/>
          <w:lang w:eastAsia="zh-CN"/>
        </w:rPr>
        <w:t>无形资产账面原值</w:t>
      </w:r>
      <w:r>
        <w:rPr>
          <w:rFonts w:hint="eastAsia" w:ascii="仿宋" w:hAnsi="仿宋" w:eastAsia="仿宋"/>
          <w:color w:val="auto"/>
          <w:sz w:val="32"/>
          <w:szCs w:val="32"/>
          <w:lang w:val="en-US" w:eastAsia="zh-CN"/>
        </w:rPr>
        <w:t>5.9万元，累计摊销3.54万元，账面净值2.36万元。</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单位资产总额为</w:t>
      </w:r>
      <w:r>
        <w:rPr>
          <w:rFonts w:hint="eastAsia" w:ascii="仿宋" w:hAnsi="仿宋" w:eastAsia="仿宋"/>
          <w:sz w:val="32"/>
          <w:szCs w:val="32"/>
          <w:lang w:val="en-US" w:eastAsia="zh-CN"/>
        </w:rPr>
        <w:t>22364.93</w:t>
      </w:r>
      <w:r>
        <w:rPr>
          <w:rFonts w:hint="eastAsia" w:ascii="仿宋" w:hAnsi="仿宋" w:eastAsia="仿宋"/>
          <w:sz w:val="32"/>
          <w:szCs w:val="32"/>
        </w:rPr>
        <w:t>万元，较上年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2532.36</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12.75</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主要为</w:t>
      </w:r>
      <w:r>
        <w:rPr>
          <w:rFonts w:hint="eastAsia" w:ascii="仿宋_GB2312" w:hAnsi="仿宋" w:eastAsia="仿宋_GB2312"/>
          <w:color w:val="000000"/>
          <w:sz w:val="32"/>
          <w:szCs w:val="32"/>
          <w:lang w:eastAsia="zh-CN"/>
        </w:rPr>
        <w:t>应收限售股奖励经费增加</w:t>
      </w:r>
      <w:r>
        <w:rPr>
          <w:rFonts w:hint="eastAsia" w:ascii="仿宋" w:hAnsi="仿宋" w:eastAsia="仿宋"/>
          <w:sz w:val="32"/>
          <w:szCs w:val="32"/>
        </w:rPr>
        <w:t>；其中流动资产</w:t>
      </w:r>
      <w:r>
        <w:rPr>
          <w:rFonts w:hint="eastAsia" w:ascii="仿宋" w:hAnsi="仿宋" w:eastAsia="仿宋"/>
          <w:sz w:val="32"/>
          <w:szCs w:val="32"/>
          <w:lang w:val="en-US" w:eastAsia="zh-CN"/>
        </w:rPr>
        <w:t>22149.15</w:t>
      </w:r>
      <w:r>
        <w:rPr>
          <w:rFonts w:hint="eastAsia" w:ascii="仿宋" w:hAnsi="仿宋" w:eastAsia="仿宋"/>
          <w:sz w:val="32"/>
          <w:szCs w:val="32"/>
        </w:rPr>
        <w:t>万元，较上年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2539.8</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12.95</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主要为</w:t>
      </w:r>
      <w:r>
        <w:rPr>
          <w:rFonts w:hint="eastAsia" w:ascii="仿宋_GB2312" w:hAnsi="仿宋" w:eastAsia="仿宋_GB2312"/>
          <w:color w:val="000000"/>
          <w:sz w:val="32"/>
          <w:szCs w:val="32"/>
          <w:lang w:eastAsia="zh-CN"/>
        </w:rPr>
        <w:t>应收限售股奖励经费增加</w:t>
      </w:r>
      <w:r>
        <w:rPr>
          <w:rFonts w:hint="eastAsia" w:ascii="仿宋" w:hAnsi="仿宋" w:eastAsia="仿宋"/>
          <w:sz w:val="32"/>
          <w:szCs w:val="32"/>
        </w:rPr>
        <w:t>；固定资产净值</w:t>
      </w:r>
      <w:r>
        <w:rPr>
          <w:rFonts w:hint="eastAsia" w:ascii="仿宋" w:hAnsi="仿宋" w:eastAsia="仿宋"/>
          <w:sz w:val="32"/>
          <w:szCs w:val="32"/>
          <w:lang w:val="en-US" w:eastAsia="zh-CN"/>
        </w:rPr>
        <w:t>213.42</w:t>
      </w:r>
      <w:r>
        <w:rPr>
          <w:rFonts w:hint="eastAsia" w:ascii="仿宋" w:hAnsi="仿宋" w:eastAsia="仿宋"/>
          <w:sz w:val="32"/>
          <w:szCs w:val="32"/>
        </w:rPr>
        <w:t>万元，较上年</w:t>
      </w:r>
      <w:r>
        <w:rPr>
          <w:rFonts w:hint="eastAsia" w:ascii="仿宋" w:hAnsi="仿宋" w:eastAsia="仿宋"/>
          <w:sz w:val="32"/>
          <w:szCs w:val="32"/>
          <w:lang w:eastAsia="zh-CN"/>
        </w:rPr>
        <w:t>减少</w:t>
      </w:r>
      <w:r>
        <w:rPr>
          <w:rFonts w:hint="eastAsia" w:ascii="仿宋" w:hAnsi="仿宋" w:eastAsia="仿宋"/>
          <w:sz w:val="32"/>
          <w:szCs w:val="32"/>
          <w:lang w:val="en-US" w:eastAsia="zh-CN"/>
        </w:rPr>
        <w:t>6.85</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3.11</w:t>
      </w:r>
      <w:r>
        <w:rPr>
          <w:rFonts w:hint="eastAsia" w:ascii="仿宋" w:hAnsi="仿宋" w:eastAsia="仿宋"/>
          <w:sz w:val="32"/>
          <w:szCs w:val="32"/>
        </w:rPr>
        <w:t>%</w:t>
      </w:r>
      <w:r>
        <w:rPr>
          <w:rFonts w:hint="eastAsia" w:ascii="仿宋" w:hAnsi="仿宋" w:eastAsia="仿宋"/>
          <w:sz w:val="32"/>
          <w:szCs w:val="32"/>
          <w:lang w:eastAsia="zh-CN"/>
        </w:rPr>
        <w:t>；无形</w:t>
      </w:r>
      <w:r>
        <w:rPr>
          <w:rFonts w:hint="eastAsia" w:ascii="仿宋" w:hAnsi="仿宋" w:eastAsia="仿宋"/>
          <w:sz w:val="32"/>
          <w:szCs w:val="32"/>
        </w:rPr>
        <w:t>资产净值</w:t>
      </w:r>
      <w:r>
        <w:rPr>
          <w:rFonts w:hint="eastAsia" w:ascii="仿宋" w:hAnsi="仿宋" w:eastAsia="仿宋"/>
          <w:sz w:val="32"/>
          <w:szCs w:val="32"/>
          <w:lang w:val="en-US" w:eastAsia="zh-CN"/>
        </w:rPr>
        <w:t>2.36</w:t>
      </w:r>
      <w:r>
        <w:rPr>
          <w:rFonts w:hint="eastAsia" w:ascii="仿宋" w:hAnsi="仿宋" w:eastAsia="仿宋"/>
          <w:sz w:val="32"/>
          <w:szCs w:val="32"/>
        </w:rPr>
        <w:t>万元，较上年减少</w:t>
      </w:r>
      <w:r>
        <w:rPr>
          <w:rFonts w:hint="eastAsia" w:ascii="仿宋" w:hAnsi="仿宋" w:eastAsia="仿宋"/>
          <w:sz w:val="32"/>
          <w:szCs w:val="32"/>
          <w:lang w:val="en-US" w:eastAsia="zh-CN"/>
        </w:rPr>
        <w:t>0.59</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20</w:t>
      </w:r>
      <w:r>
        <w:rPr>
          <w:rFonts w:hint="eastAsia" w:ascii="仿宋" w:hAnsi="仿宋" w:eastAsia="仿宋"/>
          <w:sz w:val="32"/>
          <w:szCs w:val="32"/>
        </w:rPr>
        <w:t>%。</w:t>
      </w:r>
    </w:p>
    <w:p>
      <w:pPr>
        <w:widowControl/>
        <w:shd w:val="clear" w:color="auto" w:fill="FFFFFF"/>
        <w:spacing w:line="580" w:lineRule="atLeast"/>
        <w:ind w:firstLine="643"/>
        <w:jc w:val="left"/>
        <w:rPr>
          <w:rFonts w:eastAsia="仿宋_GB2312"/>
          <w:b/>
          <w:sz w:val="32"/>
          <w:szCs w:val="32"/>
        </w:rPr>
      </w:pPr>
      <w:r>
        <w:rPr>
          <w:rFonts w:hint="eastAsia" w:ascii="仿宋" w:hAnsi="仿宋" w:eastAsia="仿宋" w:cs="楷体"/>
          <w:b/>
          <w:bCs/>
          <w:sz w:val="32"/>
          <w:szCs w:val="32"/>
        </w:rPr>
        <w:t>2、资产的配置、使用、处置、收益等情况。</w:t>
      </w:r>
    </w:p>
    <w:p>
      <w:pPr>
        <w:adjustRightInd w:val="0"/>
        <w:snapToGrid w:val="0"/>
        <w:spacing w:line="560"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年新增固定资产原值</w:t>
      </w:r>
      <w:r>
        <w:rPr>
          <w:rFonts w:hint="eastAsia" w:ascii="仿宋" w:hAnsi="仿宋" w:eastAsia="仿宋"/>
          <w:sz w:val="32"/>
          <w:szCs w:val="32"/>
          <w:lang w:val="en-US" w:eastAsia="zh-CN"/>
        </w:rPr>
        <w:t>30.11</w:t>
      </w:r>
      <w:r>
        <w:rPr>
          <w:rFonts w:hint="eastAsia" w:ascii="仿宋" w:hAnsi="仿宋" w:eastAsia="仿宋"/>
          <w:sz w:val="32"/>
          <w:szCs w:val="32"/>
        </w:rPr>
        <w:t>万元，处置固定资产原值</w:t>
      </w:r>
      <w:r>
        <w:rPr>
          <w:rFonts w:hint="eastAsia" w:ascii="仿宋" w:hAnsi="仿宋" w:eastAsia="仿宋"/>
          <w:sz w:val="32"/>
          <w:szCs w:val="32"/>
          <w:lang w:val="en-US" w:eastAsia="zh-CN"/>
        </w:rPr>
        <w:t>2.22</w:t>
      </w:r>
      <w:r>
        <w:rPr>
          <w:rFonts w:hint="eastAsia" w:ascii="仿宋" w:hAnsi="仿宋" w:eastAsia="仿宋"/>
          <w:sz w:val="32"/>
          <w:szCs w:val="32"/>
        </w:rPr>
        <w:t>万元</w:t>
      </w:r>
      <w:r>
        <w:rPr>
          <w:rFonts w:hint="eastAsia" w:ascii="仿宋" w:hAnsi="仿宋" w:eastAsia="仿宋"/>
          <w:sz w:val="32"/>
          <w:szCs w:val="32"/>
          <w:highlight w:val="none"/>
        </w:rPr>
        <w:t>；资产使用情况中自用资产</w:t>
      </w:r>
      <w:r>
        <w:rPr>
          <w:rFonts w:hint="eastAsia" w:ascii="仿宋" w:hAnsi="仿宋" w:eastAsia="仿宋"/>
          <w:sz w:val="32"/>
          <w:szCs w:val="32"/>
          <w:highlight w:val="none"/>
          <w:lang w:val="en-US" w:eastAsia="zh-CN"/>
        </w:rPr>
        <w:t>2831.24</w:t>
      </w:r>
      <w:r>
        <w:rPr>
          <w:rFonts w:hint="eastAsia" w:ascii="仿宋" w:hAnsi="仿宋" w:eastAsia="仿宋"/>
          <w:sz w:val="32"/>
          <w:szCs w:val="32"/>
          <w:highlight w:val="none"/>
        </w:rPr>
        <w:t>平方米，出租出借</w:t>
      </w:r>
      <w:r>
        <w:rPr>
          <w:rFonts w:hint="eastAsia" w:ascii="仿宋" w:hAnsi="仿宋" w:eastAsia="仿宋"/>
          <w:sz w:val="32"/>
          <w:szCs w:val="32"/>
          <w:highlight w:val="none"/>
          <w:lang w:val="en-US" w:eastAsia="zh-CN"/>
        </w:rPr>
        <w:t>1567.53</w:t>
      </w:r>
      <w:r>
        <w:rPr>
          <w:rFonts w:hint="eastAsia" w:ascii="仿宋" w:hAnsi="仿宋" w:eastAsia="仿宋"/>
          <w:sz w:val="32"/>
          <w:szCs w:val="32"/>
          <w:highlight w:val="none"/>
        </w:rPr>
        <w:t>平方米；资产收益情况中</w:t>
      </w:r>
      <w:r>
        <w:rPr>
          <w:rFonts w:hint="eastAsia" w:ascii="仿宋" w:hAnsi="仿宋" w:eastAsia="仿宋"/>
          <w:sz w:val="32"/>
          <w:szCs w:val="32"/>
          <w:highlight w:val="none"/>
          <w:lang w:eastAsia="zh-CN"/>
        </w:rPr>
        <w:t>街道</w:t>
      </w:r>
      <w:r>
        <w:rPr>
          <w:rFonts w:hint="eastAsia" w:ascii="仿宋" w:hAnsi="仿宋" w:eastAsia="仿宋"/>
          <w:sz w:val="32"/>
          <w:szCs w:val="32"/>
          <w:highlight w:val="none"/>
          <w:lang w:val="en-US" w:eastAsia="zh-CN"/>
        </w:rPr>
        <w:t>6个门面</w:t>
      </w:r>
      <w:r>
        <w:rPr>
          <w:rFonts w:hint="eastAsia" w:ascii="仿宋" w:hAnsi="仿宋" w:eastAsia="仿宋"/>
          <w:sz w:val="32"/>
          <w:szCs w:val="32"/>
          <w:highlight w:val="none"/>
        </w:rPr>
        <w:t>出租出借收入</w:t>
      </w:r>
      <w:r>
        <w:rPr>
          <w:rFonts w:hint="eastAsia" w:ascii="仿宋" w:hAnsi="仿宋" w:eastAsia="仿宋"/>
          <w:sz w:val="32"/>
          <w:szCs w:val="32"/>
          <w:highlight w:val="none"/>
          <w:lang w:val="en-US" w:eastAsia="zh-CN"/>
        </w:rPr>
        <w:t>4.31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w:t>
      </w:r>
    </w:p>
    <w:p>
      <w:pPr>
        <w:widowControl/>
        <w:shd w:val="clear" w:color="auto" w:fill="FFFFFF"/>
        <w:spacing w:line="580" w:lineRule="atLeast"/>
        <w:ind w:firstLine="643"/>
        <w:jc w:val="left"/>
        <w:rPr>
          <w:rFonts w:eastAsia="仿宋_GB2312"/>
          <w:b/>
          <w:sz w:val="32"/>
          <w:szCs w:val="32"/>
        </w:rPr>
      </w:pPr>
      <w:r>
        <w:rPr>
          <w:rFonts w:hint="eastAsia" w:ascii="仿宋" w:hAnsi="仿宋" w:eastAsia="仿宋" w:cs="楷体"/>
          <w:b/>
          <w:bCs/>
          <w:sz w:val="32"/>
          <w:szCs w:val="32"/>
        </w:rPr>
        <w:t>3、本单位重点资产情况。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截至20</w:t>
      </w:r>
      <w:r>
        <w:rPr>
          <w:rFonts w:hint="eastAsia" w:ascii="仿宋" w:hAnsi="仿宋" w:eastAsia="仿宋"/>
          <w:sz w:val="32"/>
          <w:szCs w:val="32"/>
          <w:lang w:val="en-US" w:eastAsia="zh-CN"/>
        </w:rPr>
        <w:t>21</w:t>
      </w:r>
      <w:r>
        <w:rPr>
          <w:rFonts w:hint="eastAsia" w:ascii="仿宋" w:hAnsi="仿宋" w:eastAsia="仿宋"/>
          <w:sz w:val="32"/>
          <w:szCs w:val="32"/>
        </w:rPr>
        <w:t>年底，我单位占有使用车辆0辆、0元、单价50万（含）以上通用设备0台、0元、单价100万（含）以上0台、0元。</w:t>
      </w:r>
    </w:p>
    <w:p>
      <w:pPr>
        <w:adjustRightInd w:val="0"/>
        <w:snapToGrid w:val="0"/>
        <w:spacing w:line="56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房屋构筑物中，办公用房</w:t>
      </w:r>
      <w:r>
        <w:rPr>
          <w:rFonts w:hint="eastAsia" w:ascii="仿宋" w:hAnsi="仿宋" w:eastAsia="仿宋"/>
          <w:sz w:val="32"/>
          <w:szCs w:val="32"/>
          <w:highlight w:val="none"/>
          <w:lang w:val="en-US" w:eastAsia="zh-CN"/>
        </w:rPr>
        <w:t>4398.77</w:t>
      </w:r>
      <w:r>
        <w:rPr>
          <w:rFonts w:hint="eastAsia" w:ascii="仿宋" w:hAnsi="仿宋" w:eastAsia="仿宋"/>
          <w:sz w:val="32"/>
          <w:szCs w:val="32"/>
          <w:highlight w:val="none"/>
        </w:rPr>
        <w:t>平方米，有证房屋占比</w:t>
      </w:r>
      <w:r>
        <w:rPr>
          <w:rFonts w:hint="eastAsia" w:ascii="仿宋" w:hAnsi="仿宋" w:eastAsia="仿宋"/>
          <w:sz w:val="32"/>
          <w:szCs w:val="32"/>
          <w:highlight w:val="none"/>
          <w:lang w:val="en-US" w:eastAsia="zh-CN"/>
        </w:rPr>
        <w:t>91.07</w:t>
      </w:r>
      <w:r>
        <w:rPr>
          <w:rFonts w:hint="eastAsia" w:ascii="仿宋" w:hAnsi="仿宋" w:eastAsia="仿宋"/>
          <w:sz w:val="32"/>
          <w:szCs w:val="32"/>
          <w:highlight w:val="none"/>
        </w:rPr>
        <w:t>%。</w:t>
      </w:r>
    </w:p>
    <w:p>
      <w:pPr>
        <w:adjustRightInd w:val="0"/>
        <w:snapToGrid w:val="0"/>
        <w:spacing w:line="560" w:lineRule="exact"/>
        <w:ind w:firstLine="643" w:firstLineChars="200"/>
        <w:rPr>
          <w:rFonts w:eastAsia="仿宋_GB2312"/>
          <w:b/>
          <w:bCs/>
          <w:sz w:val="32"/>
          <w:szCs w:val="32"/>
        </w:rPr>
      </w:pPr>
      <w:r>
        <w:rPr>
          <w:rFonts w:hint="eastAsia" w:eastAsia="仿宋_GB2312"/>
          <w:b/>
          <w:bCs/>
          <w:sz w:val="32"/>
          <w:szCs w:val="32"/>
        </w:rPr>
        <w:t>（二）资产管理工作情况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lang w:eastAsia="zh-CN"/>
        </w:rPr>
        <w:t>文艺路</w:t>
      </w:r>
      <w:r>
        <w:rPr>
          <w:rFonts w:hint="eastAsia" w:ascii="仿宋" w:hAnsi="仿宋" w:eastAsia="仿宋"/>
          <w:sz w:val="32"/>
          <w:szCs w:val="32"/>
        </w:rPr>
        <w:t>街道为进一步加强行政事业单位国有资产管理，合理配置和提高国有资产使用效益，推进资产管理精细化、标准化、规范化和科学化建设，20</w:t>
      </w:r>
      <w:r>
        <w:rPr>
          <w:rFonts w:hint="eastAsia" w:ascii="仿宋" w:hAnsi="仿宋" w:eastAsia="仿宋"/>
          <w:sz w:val="32"/>
          <w:szCs w:val="32"/>
          <w:lang w:val="en-US" w:eastAsia="zh-CN"/>
        </w:rPr>
        <w:t>21</w:t>
      </w:r>
      <w:r>
        <w:rPr>
          <w:rFonts w:hint="eastAsia" w:ascii="仿宋" w:hAnsi="仿宋" w:eastAsia="仿宋"/>
          <w:sz w:val="32"/>
          <w:szCs w:val="32"/>
        </w:rPr>
        <w:t>年单位在日常管理中，做到以下几点：</w:t>
      </w:r>
    </w:p>
    <w:p>
      <w:pPr>
        <w:pStyle w:val="9"/>
        <w:ind w:firstLine="640" w:firstLineChars="200"/>
        <w:rPr>
          <w:rFonts w:ascii="仿宋" w:hAnsi="仿宋" w:eastAsia="仿宋"/>
          <w:sz w:val="32"/>
          <w:szCs w:val="32"/>
        </w:rPr>
      </w:pPr>
      <w:r>
        <w:rPr>
          <w:rFonts w:hint="eastAsia" w:ascii="仿宋" w:hAnsi="仿宋" w:eastAsia="仿宋"/>
          <w:sz w:val="32"/>
          <w:szCs w:val="32"/>
        </w:rPr>
        <w:t>一是加强资产配置管理。</w:t>
      </w:r>
      <w:r>
        <w:rPr>
          <w:rFonts w:hint="eastAsia" w:ascii="仿宋" w:hAnsi="仿宋" w:eastAsia="仿宋"/>
          <w:sz w:val="32"/>
          <w:szCs w:val="32"/>
          <w:lang w:eastAsia="zh-CN"/>
        </w:rPr>
        <w:t>严格按照区政府固定资产管理办法执行</w:t>
      </w:r>
      <w:r>
        <w:rPr>
          <w:rFonts w:hint="eastAsia" w:ascii="仿宋" w:hAnsi="仿宋" w:eastAsia="仿宋"/>
          <w:sz w:val="32"/>
          <w:szCs w:val="32"/>
        </w:rPr>
        <w:t>，单位提出资产配置申请，国资部门进行审核、批准后才能进行政府采购。</w:t>
      </w:r>
    </w:p>
    <w:p>
      <w:pPr>
        <w:pStyle w:val="9"/>
        <w:ind w:firstLine="640" w:firstLineChars="200"/>
        <w:rPr>
          <w:rFonts w:ascii="仿宋" w:hAnsi="仿宋" w:eastAsia="仿宋"/>
          <w:sz w:val="32"/>
          <w:szCs w:val="32"/>
        </w:rPr>
      </w:pPr>
      <w:r>
        <w:rPr>
          <w:rFonts w:hint="eastAsia" w:ascii="仿宋" w:hAnsi="仿宋" w:eastAsia="仿宋"/>
          <w:sz w:val="32"/>
          <w:szCs w:val="32"/>
        </w:rPr>
        <w:t xml:space="preserve">二是强化制度建设，创新管理机制。严格按照街道下发的制度执行，创新机制，极大地提升了单位国有资产管理工作的质量和水平。                                              </w:t>
      </w:r>
    </w:p>
    <w:p>
      <w:pPr>
        <w:pStyle w:val="9"/>
        <w:ind w:firstLine="640" w:firstLineChars="200"/>
        <w:rPr>
          <w:rFonts w:hint="default" w:ascii="Times New Roman" w:hAnsi="Times New Roman" w:eastAsia="仿宋_GB2312" w:cs="Times New Roman"/>
          <w:sz w:val="32"/>
          <w:szCs w:val="32"/>
        </w:rPr>
      </w:pPr>
      <w:r>
        <w:rPr>
          <w:rFonts w:hint="eastAsia" w:ascii="仿宋" w:hAnsi="仿宋" w:eastAsia="仿宋"/>
          <w:sz w:val="32"/>
          <w:szCs w:val="32"/>
        </w:rPr>
        <w:t>三是凡涉及资产调拨、捐赠、报废、出售等处置事项，</w:t>
      </w:r>
      <w:r>
        <w:rPr>
          <w:rFonts w:hint="eastAsia" w:ascii="仿宋" w:hAnsi="仿宋" w:eastAsia="仿宋"/>
          <w:sz w:val="32"/>
          <w:szCs w:val="32"/>
          <w:lang w:eastAsia="zh-CN"/>
        </w:rPr>
        <w:t>需</w:t>
      </w:r>
      <w:r>
        <w:rPr>
          <w:rFonts w:hint="eastAsia" w:ascii="仿宋" w:hAnsi="仿宋" w:eastAsia="仿宋"/>
          <w:sz w:val="32"/>
          <w:szCs w:val="32"/>
        </w:rPr>
        <w:t>报区财政国资部门批准，单位不得随意处置资产。</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政府性基金预算支出情况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 w:hAnsi="仿宋" w:eastAsia="仿宋" w:cs="Times New Roman"/>
          <w:kern w:val="2"/>
          <w:sz w:val="32"/>
          <w:szCs w:val="32"/>
          <w:lang w:val="en-US" w:eastAsia="zh-CN" w:bidi="ar-SA"/>
        </w:rPr>
        <w:t>2021年文艺路街道办事处政府性基金收入10万元，政府性基金支出10万元，资金为2021年省级财政专项彩票公益金（文化类、其他）——文艺新村五彩课堂项目资金，上年结转结余和本年结转结余均为0万元。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国有资本经营预算支出情况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Times New Roman"/>
          <w:kern w:val="2"/>
          <w:sz w:val="32"/>
          <w:szCs w:val="32"/>
          <w:lang w:val="en-US" w:eastAsia="zh-CN" w:bidi="ar-SA"/>
        </w:rPr>
      </w:pPr>
      <w:r>
        <w:rPr>
          <w:rFonts w:hint="eastAsia" w:ascii="Times New Roman" w:hAnsi="Times New Roman" w:eastAsia="黑体" w:cs="Times New Roman"/>
          <w:sz w:val="32"/>
          <w:szCs w:val="32"/>
          <w:lang w:val="en-US" w:eastAsia="zh-CN"/>
        </w:rPr>
        <w:t xml:space="preserve">    </w:t>
      </w:r>
      <w:r>
        <w:rPr>
          <w:rFonts w:hint="eastAsia" w:ascii="仿宋" w:hAnsi="仿宋" w:eastAsia="仿宋" w:cs="Times New Roman"/>
          <w:kern w:val="2"/>
          <w:sz w:val="32"/>
          <w:szCs w:val="32"/>
          <w:lang w:val="en-US" w:eastAsia="zh-CN" w:bidi="ar-SA"/>
        </w:rPr>
        <w:t>2021年文艺路街道办事处无</w:t>
      </w:r>
      <w:r>
        <w:rPr>
          <w:rFonts w:hint="default" w:ascii="仿宋" w:hAnsi="仿宋" w:eastAsia="仿宋" w:cs="Times New Roman"/>
          <w:kern w:val="2"/>
          <w:sz w:val="32"/>
          <w:szCs w:val="32"/>
          <w:lang w:val="en-US" w:eastAsia="zh-CN" w:bidi="ar-SA"/>
        </w:rPr>
        <w:t>国有资本经营</w:t>
      </w:r>
      <w:r>
        <w:rPr>
          <w:rFonts w:hint="eastAsia" w:ascii="仿宋" w:hAnsi="仿宋" w:eastAsia="仿宋" w:cs="Times New Roman"/>
          <w:kern w:val="2"/>
          <w:sz w:val="32"/>
          <w:szCs w:val="32"/>
          <w:lang w:val="en-US" w:eastAsia="zh-CN" w:bidi="ar-SA"/>
        </w:rPr>
        <w:t>收入。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七、</w:t>
      </w:r>
      <w:r>
        <w:rPr>
          <w:rFonts w:hint="default" w:ascii="Times New Roman" w:hAnsi="Times New Roman" w:eastAsia="黑体" w:cs="Times New Roman"/>
          <w:sz w:val="32"/>
          <w:szCs w:val="32"/>
        </w:rPr>
        <w:t>社会保险基金预算支出情况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2021年文艺路街道办事处无</w:t>
      </w:r>
      <w:r>
        <w:rPr>
          <w:rFonts w:hint="default" w:ascii="仿宋" w:hAnsi="仿宋" w:eastAsia="仿宋" w:cs="Times New Roman"/>
          <w:kern w:val="2"/>
          <w:sz w:val="32"/>
          <w:szCs w:val="32"/>
          <w:lang w:val="en-US" w:eastAsia="zh-CN" w:bidi="ar-SA"/>
        </w:rPr>
        <w:t>社会保险基金</w:t>
      </w:r>
      <w:r>
        <w:rPr>
          <w:rFonts w:hint="eastAsia" w:ascii="仿宋" w:hAnsi="仿宋" w:eastAsia="仿宋" w:cs="Times New Roman"/>
          <w:kern w:val="2"/>
          <w:sz w:val="32"/>
          <w:szCs w:val="32"/>
          <w:lang w:val="en-US" w:eastAsia="zh-CN" w:bidi="ar-SA"/>
        </w:rPr>
        <w:t>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、部门整体支出绩效情况</w:t>
      </w:r>
    </w:p>
    <w:p>
      <w:pPr>
        <w:adjustRightInd w:val="0"/>
        <w:snapToGrid w:val="0"/>
        <w:spacing w:line="560" w:lineRule="exact"/>
        <w:ind w:firstLine="643" w:firstLineChars="200"/>
        <w:rPr>
          <w:rFonts w:eastAsia="仿宋_GB2312"/>
          <w:b/>
          <w:bCs/>
          <w:sz w:val="32"/>
          <w:szCs w:val="32"/>
        </w:rPr>
      </w:pPr>
      <w:r>
        <w:rPr>
          <w:rFonts w:hint="eastAsia" w:eastAsia="仿宋_GB2312"/>
          <w:b/>
          <w:bCs/>
          <w:sz w:val="32"/>
          <w:szCs w:val="32"/>
        </w:rPr>
        <w:t>（一）经济效益分析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21</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文艺路</w:t>
      </w:r>
      <w:r>
        <w:rPr>
          <w:rFonts w:hint="eastAsia" w:ascii="Times New Roman" w:hAnsi="Times New Roman" w:eastAsia="仿宋_GB2312" w:cs="Times New Roman"/>
          <w:color w:val="000000"/>
          <w:sz w:val="32"/>
          <w:szCs w:val="32"/>
        </w:rPr>
        <w:t>街道办事处整体支出按照区财政局下达的预算批复，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严格遵循厉行节约的精神，按规定开支“三公”经费。</w:t>
      </w:r>
    </w:p>
    <w:p>
      <w:pPr>
        <w:adjustRightInd w:val="0"/>
        <w:snapToGrid w:val="0"/>
        <w:spacing w:line="560" w:lineRule="exact"/>
        <w:ind w:firstLine="643" w:firstLineChars="200"/>
        <w:rPr>
          <w:rFonts w:hint="eastAsia" w:eastAsia="仿宋_GB2312" w:cs="Times New Roman"/>
          <w:b/>
          <w:bCs/>
          <w:sz w:val="32"/>
          <w:szCs w:val="32"/>
          <w:lang w:eastAsia="zh-CN"/>
        </w:rPr>
      </w:pPr>
      <w:r>
        <w:rPr>
          <w:rFonts w:hint="eastAsia" w:eastAsia="仿宋_GB2312" w:cs="Times New Roman"/>
          <w:b/>
          <w:bCs/>
          <w:sz w:val="32"/>
          <w:szCs w:val="32"/>
          <w:lang w:eastAsia="zh-CN"/>
        </w:rPr>
        <w:t>（二）</w:t>
      </w:r>
      <w:r>
        <w:rPr>
          <w:rFonts w:hint="eastAsia" w:eastAsia="仿宋_GB2312" w:cs="Times New Roman"/>
          <w:b/>
          <w:bCs/>
          <w:sz w:val="32"/>
          <w:szCs w:val="32"/>
        </w:rPr>
        <w:t>社会效率分析</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20" w:firstLineChars="200"/>
        <w:textAlignment w:val="auto"/>
        <w:rPr>
          <w:rFonts w:hint="eastAsia" w:ascii="楷体" w:hAnsi="楷体" w:eastAsia="楷体" w:cs="楷体"/>
          <w:b/>
          <w:bCs/>
          <w:sz w:val="32"/>
          <w:szCs w:val="32"/>
          <w:lang w:eastAsia="zh-CN"/>
        </w:rPr>
      </w:pPr>
      <w:r>
        <w:rPr>
          <w:rFonts w:hint="eastAsia"/>
          <w:lang w:val="en-US" w:eastAsia="zh-CN"/>
        </w:rPr>
        <w:t xml:space="preserve">  </w:t>
      </w: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、贯彻落实中央、省市区委重大决策部署、重要会议、重要文件、重要指示精神情况。</w:t>
      </w:r>
    </w:p>
    <w:p>
      <w:pPr>
        <w:pStyle w:val="10"/>
        <w:keepNext w:val="0"/>
        <w:keepLines w:val="0"/>
        <w:pageBreakBefore w:val="0"/>
        <w:widowControl w:val="0"/>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一是完善落实机制。</w:t>
      </w:r>
      <w:r>
        <w:rPr>
          <w:rFonts w:hint="eastAsia" w:ascii="仿宋_GB2312" w:hAnsi="仿宋_GB2312" w:eastAsia="仿宋_GB2312" w:cs="仿宋_GB2312"/>
          <w:b w:val="0"/>
          <w:bCs w:val="0"/>
          <w:sz w:val="32"/>
          <w:szCs w:val="32"/>
          <w:lang w:val="en-US" w:eastAsia="zh-CN"/>
        </w:rPr>
        <w:t>积极推进中央、省市区委重大决策部署在辖区落地生根，</w:t>
      </w:r>
      <w:r>
        <w:rPr>
          <w:rFonts w:hint="eastAsia" w:ascii="仿宋_GB2312" w:hAnsi="仿宋_GB2312" w:eastAsia="仿宋_GB2312" w:cs="仿宋_GB2312"/>
          <w:b w:val="0"/>
          <w:bCs w:val="0"/>
          <w:sz w:val="32"/>
          <w:szCs w:val="32"/>
          <w:lang w:eastAsia="zh-CN"/>
        </w:rPr>
        <w:t>对于省市区委重要会议、重要文件、重要指示精神以及</w:t>
      </w:r>
      <w:r>
        <w:rPr>
          <w:rFonts w:hint="eastAsia" w:ascii="仿宋_GB2312" w:hAnsi="仿宋_GB2312" w:eastAsia="仿宋_GB2312" w:cs="仿宋_GB2312"/>
          <w:b w:val="0"/>
          <w:bCs w:val="0"/>
          <w:sz w:val="32"/>
          <w:szCs w:val="32"/>
        </w:rPr>
        <w:t>重大问题，</w:t>
      </w:r>
      <w:r>
        <w:rPr>
          <w:rFonts w:hint="eastAsia" w:ascii="仿宋_GB2312" w:hAnsi="仿宋_GB2312" w:eastAsia="仿宋_GB2312" w:cs="仿宋_GB2312"/>
          <w:b w:val="0"/>
          <w:bCs w:val="0"/>
          <w:sz w:val="32"/>
          <w:szCs w:val="32"/>
          <w:lang w:eastAsia="zh-CN"/>
        </w:rPr>
        <w:t>均提交党工委会议讨论，促进工作责任及任务落实落细，推动基层治理水平向高品质升级</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二是坚持全员集中学习。</w:t>
      </w:r>
      <w:r>
        <w:rPr>
          <w:rFonts w:hint="eastAsia" w:ascii="仿宋_GB2312" w:hAnsi="仿宋_GB2312" w:eastAsia="仿宋_GB2312" w:cs="仿宋_GB2312"/>
          <w:b w:val="0"/>
          <w:bCs w:val="0"/>
          <w:sz w:val="32"/>
          <w:szCs w:val="32"/>
          <w:lang w:val="en-US" w:eastAsia="zh-CN"/>
        </w:rPr>
        <w:t>结合中心组学习、</w:t>
      </w:r>
      <w:r>
        <w:rPr>
          <w:rFonts w:hint="eastAsia" w:ascii="仿宋_GB2312" w:hAnsi="仿宋_GB2312" w:eastAsia="仿宋_GB2312" w:cs="仿宋_GB2312"/>
          <w:b w:val="0"/>
          <w:bCs w:val="0"/>
          <w:sz w:val="32"/>
          <w:szCs w:val="32"/>
          <w:lang w:eastAsia="zh-CN"/>
        </w:rPr>
        <w:t>街道全体干部学习会议等形式，</w:t>
      </w:r>
      <w:r>
        <w:rPr>
          <w:rFonts w:hint="eastAsia" w:ascii="仿宋_GB2312" w:hAnsi="仿宋_GB2312" w:eastAsia="仿宋_GB2312" w:cs="仿宋_GB2312"/>
          <w:b w:val="0"/>
          <w:bCs w:val="0"/>
          <w:sz w:val="32"/>
          <w:szCs w:val="32"/>
          <w:lang w:val="en-US" w:eastAsia="zh-CN"/>
        </w:rPr>
        <w:t>深入学习贯彻习近平总书记视察湖南重要指示精神、建党100周年“七一”重要讲话精神、党的十九届六中全会精神及省市区各级党代会精神</w:t>
      </w:r>
      <w:r>
        <w:rPr>
          <w:rFonts w:hint="eastAsia" w:ascii="仿宋_GB2312" w:hAnsi="仿宋_GB2312" w:eastAsia="仿宋_GB2312" w:cs="仿宋_GB2312"/>
          <w:b w:val="0"/>
          <w:bCs w:val="0"/>
          <w:sz w:val="32"/>
          <w:szCs w:val="32"/>
        </w:rPr>
        <w:t>，确保街道各级党组织和全体干部及时领会中央、省市区委的重要指示精神和决策部署。</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lang w:eastAsia="zh-CN"/>
        </w:rPr>
        <w:t>、履行党建工作责任，抓好意识形态，落实工作任务情况。</w:t>
      </w:r>
    </w:p>
    <w:p>
      <w:pPr>
        <w:keepNext w:val="0"/>
        <w:keepLines w:val="0"/>
        <w:pageBreakBefore w:val="0"/>
        <w:kinsoku/>
        <w:wordWrap/>
        <w:overflowPunct/>
        <w:topLinePunct w:val="0"/>
        <w:autoSpaceDE/>
        <w:autoSpaceDN/>
        <w:bidi w:val="0"/>
        <w:adjustRightInd/>
        <w:snapToGrid/>
        <w:spacing w:beforeAutospacing="0" w:afterAutospacing="0" w:line="500" w:lineRule="exact"/>
        <w:ind w:leftChars="0" w:firstLine="640" w:firstLineChars="200"/>
        <w:jc w:val="both"/>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lang w:eastAsia="zh-CN"/>
        </w:rPr>
        <w:t>一是筑牢根基，把好思想政治“方向盘”。</w:t>
      </w:r>
      <w:r>
        <w:rPr>
          <w:rFonts w:hint="eastAsia" w:ascii="仿宋_GB2312" w:hAnsi="仿宋_GB2312" w:eastAsia="仿宋_GB2312" w:cs="仿宋_GB2312"/>
          <w:b w:val="0"/>
          <w:bCs w:val="0"/>
          <w:color w:val="auto"/>
          <w:sz w:val="32"/>
          <w:szCs w:val="32"/>
          <w:lang w:eastAsia="zh-CN"/>
        </w:rPr>
        <w:t>健全</w:t>
      </w:r>
      <w:r>
        <w:rPr>
          <w:rFonts w:hint="eastAsia" w:ascii="仿宋_GB2312" w:hAnsi="仿宋_GB2312" w:eastAsia="仿宋_GB2312" w:cs="仿宋_GB2312"/>
          <w:b w:val="0"/>
          <w:bCs w:val="0"/>
          <w:color w:val="auto"/>
          <w:sz w:val="32"/>
          <w:szCs w:val="32"/>
        </w:rPr>
        <w:t>组织机构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成立了意识形态工作领导小组、网信工作领导小组，</w:t>
      </w:r>
      <w:r>
        <w:rPr>
          <w:rFonts w:hint="eastAsia" w:ascii="仿宋_GB2312" w:hAnsi="仿宋_GB2312" w:eastAsia="仿宋_GB2312" w:cs="仿宋_GB2312"/>
          <w:b w:val="0"/>
          <w:bCs w:val="0"/>
          <w:color w:val="auto"/>
          <w:sz w:val="32"/>
          <w:szCs w:val="32"/>
          <w:lang w:eastAsia="zh-CN"/>
        </w:rPr>
        <w:t>全年</w:t>
      </w:r>
      <w:r>
        <w:rPr>
          <w:rFonts w:hint="eastAsia" w:ascii="仿宋_GB2312" w:hAnsi="仿宋_GB2312" w:eastAsia="仿宋_GB2312" w:cs="仿宋_GB2312"/>
          <w:b w:val="0"/>
          <w:bCs w:val="0"/>
          <w:color w:val="auto"/>
          <w:sz w:val="32"/>
          <w:szCs w:val="32"/>
        </w:rPr>
        <w:t>召开意识形态分析研判会</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次</w:t>
      </w:r>
      <w:r>
        <w:rPr>
          <w:rFonts w:hint="eastAsia" w:ascii="仿宋_GB2312" w:hAnsi="仿宋_GB2312" w:eastAsia="仿宋_GB2312" w:cs="仿宋_GB2312"/>
          <w:b w:val="0"/>
          <w:bCs w:val="0"/>
          <w:color w:val="auto"/>
          <w:sz w:val="32"/>
          <w:szCs w:val="32"/>
          <w:lang w:eastAsia="zh-CN"/>
        </w:rPr>
        <w:t>。组织开展</w:t>
      </w:r>
      <w:r>
        <w:rPr>
          <w:rFonts w:hint="eastAsia" w:ascii="仿宋_GB2312" w:hAnsi="仿宋_GB2312" w:eastAsia="仿宋_GB2312" w:cs="仿宋_GB2312"/>
          <w:b w:val="0"/>
          <w:bCs w:val="0"/>
          <w:color w:val="auto"/>
          <w:sz w:val="32"/>
          <w:szCs w:val="32"/>
          <w:lang w:val="en-US" w:eastAsia="zh-CN"/>
        </w:rPr>
        <w:t>15次中心组专题学习、3次党史学习教育、4场大型专题党课，</w:t>
      </w:r>
      <w:r>
        <w:rPr>
          <w:rFonts w:hint="eastAsia" w:ascii="仿宋_GB2312" w:hAnsi="仿宋_GB2312" w:eastAsia="仿宋_GB2312" w:cs="仿宋_GB2312"/>
          <w:b w:val="0"/>
          <w:bCs w:val="0"/>
          <w:color w:val="auto"/>
          <w:sz w:val="32"/>
          <w:szCs w:val="32"/>
          <w:lang w:eastAsia="zh-CN"/>
        </w:rPr>
        <w:t>牢牢把握正确的政治方向。</w:t>
      </w:r>
      <w:r>
        <w:rPr>
          <w:rFonts w:hint="eastAsia" w:ascii="仿宋_GB2312" w:hAnsi="仿宋_GB2312" w:eastAsia="仿宋_GB2312" w:cs="仿宋_GB2312"/>
          <w:b w:val="0"/>
          <w:bCs w:val="0"/>
          <w:sz w:val="32"/>
          <w:szCs w:val="32"/>
          <w:lang w:eastAsia="zh-CN"/>
        </w:rPr>
        <w:t>二是强化宣传引导，形成主流旋律“大合唱”。</w:t>
      </w:r>
      <w:r>
        <w:rPr>
          <w:rFonts w:hint="eastAsia" w:ascii="仿宋_GB2312" w:hAnsi="仿宋_GB2312" w:eastAsia="仿宋_GB2312" w:cs="仿宋_GB2312"/>
          <w:b w:val="0"/>
          <w:bCs w:val="0"/>
          <w:color w:val="auto"/>
          <w:sz w:val="32"/>
          <w:szCs w:val="32"/>
          <w:lang w:eastAsia="zh-CN"/>
        </w:rPr>
        <w:t>开展湘雅二医院周边提质改造、区域深度融合发展等系列报道，累计媒体发稿央级</w:t>
      </w:r>
      <w:r>
        <w:rPr>
          <w:rFonts w:hint="eastAsia" w:ascii="仿宋_GB2312" w:hAnsi="仿宋_GB2312" w:eastAsia="仿宋_GB2312" w:cs="仿宋_GB2312"/>
          <w:b w:val="0"/>
          <w:bCs w:val="0"/>
          <w:color w:val="auto"/>
          <w:sz w:val="32"/>
          <w:szCs w:val="32"/>
          <w:lang w:val="en-US" w:eastAsia="zh-CN"/>
        </w:rPr>
        <w:t>20余篇，省级150余篇，市级200余篇。</w:t>
      </w:r>
      <w:r>
        <w:rPr>
          <w:rFonts w:hint="eastAsia" w:ascii="仿宋_GB2312" w:hAnsi="仿宋_GB2312" w:eastAsia="仿宋_GB2312" w:cs="仿宋_GB2312"/>
          <w:b w:val="0"/>
          <w:bCs w:val="0"/>
          <w:color w:val="auto"/>
          <w:sz w:val="32"/>
          <w:szCs w:val="32"/>
          <w:lang w:eastAsia="zh-CN"/>
        </w:rPr>
        <w:t>深入开展群众文化活动，举办大型文艺活动</w:t>
      </w:r>
      <w:r>
        <w:rPr>
          <w:rFonts w:hint="eastAsia" w:ascii="仿宋_GB2312" w:hAnsi="仿宋_GB2312" w:eastAsia="仿宋_GB2312" w:cs="仿宋_GB2312"/>
          <w:b w:val="0"/>
          <w:bCs w:val="0"/>
          <w:color w:val="auto"/>
          <w:sz w:val="32"/>
          <w:szCs w:val="32"/>
          <w:lang w:val="en-US" w:eastAsia="zh-CN"/>
        </w:rPr>
        <w:t>11场，</w:t>
      </w:r>
      <w:r>
        <w:rPr>
          <w:rFonts w:hint="eastAsia" w:ascii="仿宋_GB2312" w:hAnsi="仿宋_GB2312" w:eastAsia="仿宋_GB2312" w:cs="仿宋_GB2312"/>
          <w:b w:val="0"/>
          <w:bCs w:val="0"/>
          <w:color w:val="auto"/>
          <w:sz w:val="32"/>
          <w:szCs w:val="32"/>
          <w:lang w:eastAsia="zh-CN"/>
        </w:rPr>
        <w:t>打造专业志愿服务队伍</w:t>
      </w:r>
      <w:r>
        <w:rPr>
          <w:rFonts w:hint="eastAsia" w:ascii="仿宋_GB2312" w:hAnsi="仿宋_GB2312" w:eastAsia="仿宋_GB2312" w:cs="仿宋_GB2312"/>
          <w:b w:val="0"/>
          <w:bCs w:val="0"/>
          <w:color w:val="auto"/>
          <w:sz w:val="32"/>
          <w:szCs w:val="32"/>
          <w:lang w:val="en-US" w:eastAsia="zh-CN"/>
        </w:rPr>
        <w:t>9支，扩大了宣传覆盖面。</w:t>
      </w:r>
      <w:r>
        <w:rPr>
          <w:rFonts w:hint="eastAsia" w:ascii="仿宋_GB2312" w:hAnsi="仿宋_GB2312" w:eastAsia="仿宋_GB2312" w:cs="仿宋_GB2312"/>
          <w:b w:val="0"/>
          <w:bCs w:val="0"/>
          <w:sz w:val="32"/>
          <w:szCs w:val="32"/>
          <w:lang w:val="en-US" w:eastAsia="zh-CN"/>
        </w:rPr>
        <w:t>三是</w:t>
      </w:r>
      <w:r>
        <w:rPr>
          <w:rFonts w:hint="eastAsia" w:ascii="仿宋_GB2312" w:hAnsi="仿宋_GB2312" w:eastAsia="仿宋_GB2312" w:cs="仿宋_GB2312"/>
          <w:b w:val="0"/>
          <w:bCs w:val="0"/>
          <w:sz w:val="32"/>
          <w:szCs w:val="32"/>
          <w:lang w:eastAsia="zh-CN"/>
        </w:rPr>
        <w:t>压实措施，织密隐患排查安全网。</w:t>
      </w:r>
      <w:r>
        <w:rPr>
          <w:rFonts w:hint="eastAsia" w:ascii="仿宋_GB2312" w:hAnsi="仿宋_GB2312" w:eastAsia="仿宋_GB2312" w:cs="仿宋_GB2312"/>
          <w:b w:val="0"/>
          <w:bCs w:val="0"/>
          <w:color w:val="auto"/>
          <w:sz w:val="32"/>
          <w:szCs w:val="32"/>
          <w:lang w:eastAsia="zh-CN"/>
        </w:rPr>
        <w:t>加强</w:t>
      </w:r>
      <w:r>
        <w:rPr>
          <w:rFonts w:hint="eastAsia" w:ascii="仿宋_GB2312" w:hAnsi="仿宋_GB2312" w:eastAsia="仿宋_GB2312" w:cs="仿宋_GB2312"/>
          <w:b w:val="0"/>
          <w:bCs w:val="0"/>
          <w:color w:val="auto"/>
          <w:sz w:val="32"/>
          <w:szCs w:val="32"/>
        </w:rPr>
        <w:t>常态化舆情风险排查</w:t>
      </w:r>
      <w:r>
        <w:rPr>
          <w:rFonts w:hint="eastAsia" w:ascii="仿宋_GB2312" w:hAnsi="仿宋_GB2312" w:eastAsia="仿宋_GB2312" w:cs="仿宋_GB2312"/>
          <w:b w:val="0"/>
          <w:bCs w:val="0"/>
          <w:color w:val="auto"/>
          <w:sz w:val="32"/>
          <w:szCs w:val="32"/>
          <w:lang w:eastAsia="zh-CN"/>
        </w:rPr>
        <w:t>，今年处理重大舆情</w:t>
      </w:r>
      <w:r>
        <w:rPr>
          <w:rFonts w:hint="eastAsia" w:ascii="仿宋_GB2312" w:hAnsi="仿宋_GB2312" w:eastAsia="仿宋_GB2312" w:cs="仿宋_GB2312"/>
          <w:b w:val="0"/>
          <w:bCs w:val="0"/>
          <w:color w:val="auto"/>
          <w:sz w:val="32"/>
          <w:szCs w:val="32"/>
          <w:lang w:val="en-US" w:eastAsia="zh-CN"/>
        </w:rPr>
        <w:t>1起，处理其他网络舆情13起、</w:t>
      </w:r>
      <w:r>
        <w:rPr>
          <w:rFonts w:hint="eastAsia" w:ascii="仿宋_GB2312" w:hAnsi="仿宋_GB2312" w:eastAsia="仿宋_GB2312" w:cs="仿宋_GB2312"/>
          <w:b w:val="0"/>
          <w:bCs w:val="0"/>
          <w:i w:val="0"/>
          <w:caps w:val="0"/>
          <w:color w:val="000000"/>
          <w:spacing w:val="0"/>
          <w:w w:val="100"/>
          <w:sz w:val="32"/>
          <w:szCs w:val="32"/>
        </w:rPr>
        <w:t>舆情示警25次</w:t>
      </w:r>
      <w:r>
        <w:rPr>
          <w:rFonts w:hint="eastAsia" w:ascii="仿宋_GB2312" w:hAnsi="仿宋_GB2312" w:eastAsia="仿宋_GB2312" w:cs="仿宋_GB2312"/>
          <w:b w:val="0"/>
          <w:bCs w:val="0"/>
          <w:color w:val="auto"/>
          <w:sz w:val="32"/>
          <w:szCs w:val="32"/>
          <w:lang w:val="en-US" w:eastAsia="zh-CN"/>
        </w:rPr>
        <w:t>。强化网络信息的清理处置，</w:t>
      </w:r>
      <w:r>
        <w:rPr>
          <w:rFonts w:hint="eastAsia" w:ascii="仿宋_GB2312" w:hAnsi="仿宋_GB2312" w:eastAsia="仿宋_GB2312" w:cs="仿宋_GB2312"/>
          <w:b w:val="0"/>
          <w:bCs w:val="0"/>
          <w:color w:val="auto"/>
          <w:sz w:val="32"/>
          <w:szCs w:val="32"/>
          <w:lang w:eastAsia="zh-CN"/>
        </w:rPr>
        <w:t>今年报送舆情</w:t>
      </w:r>
      <w:r>
        <w:rPr>
          <w:rFonts w:hint="eastAsia" w:ascii="仿宋_GB2312" w:hAnsi="仿宋_GB2312" w:eastAsia="仿宋_GB2312" w:cs="仿宋_GB2312"/>
          <w:b w:val="0"/>
          <w:bCs w:val="0"/>
          <w:color w:val="auto"/>
          <w:sz w:val="32"/>
          <w:szCs w:val="32"/>
          <w:lang w:val="en-US" w:eastAsia="zh-CN"/>
        </w:rPr>
        <w:t>6138条，举报网络信息1872条。</w:t>
      </w:r>
      <w:r>
        <w:rPr>
          <w:rFonts w:hint="eastAsia" w:ascii="仿宋_GB2312" w:hAnsi="仿宋_GB2312" w:eastAsia="仿宋_GB2312" w:cs="仿宋_GB2312"/>
          <w:b w:val="0"/>
          <w:bCs w:val="0"/>
          <w:color w:val="auto"/>
          <w:sz w:val="32"/>
          <w:szCs w:val="32"/>
        </w:rPr>
        <w:t>按规定时间回复网络问政平台</w:t>
      </w:r>
      <w:r>
        <w:rPr>
          <w:rFonts w:hint="eastAsia" w:ascii="仿宋_GB2312" w:hAnsi="仿宋_GB2312" w:eastAsia="仿宋_GB2312" w:cs="仿宋_GB2312"/>
          <w:b w:val="0"/>
          <w:bCs w:val="0"/>
          <w:color w:val="auto"/>
          <w:sz w:val="32"/>
          <w:szCs w:val="32"/>
          <w:lang w:eastAsia="zh-CN"/>
        </w:rPr>
        <w:t>，圆满解决</w:t>
      </w:r>
      <w:r>
        <w:rPr>
          <w:rFonts w:hint="eastAsia" w:ascii="仿宋_GB2312" w:hAnsi="仿宋_GB2312" w:eastAsia="仿宋_GB2312" w:cs="仿宋_GB2312"/>
          <w:b w:val="0"/>
          <w:bCs w:val="0"/>
          <w:color w:val="auto"/>
          <w:sz w:val="32"/>
          <w:szCs w:val="32"/>
        </w:rPr>
        <w:t>居民</w:t>
      </w:r>
      <w:r>
        <w:rPr>
          <w:rFonts w:hint="eastAsia" w:ascii="仿宋_GB2312" w:hAnsi="仿宋_GB2312" w:eastAsia="仿宋_GB2312" w:cs="仿宋_GB2312"/>
          <w:b w:val="0"/>
          <w:bCs w:val="0"/>
          <w:color w:val="auto"/>
          <w:sz w:val="32"/>
          <w:szCs w:val="32"/>
          <w:lang w:eastAsia="zh-CN"/>
        </w:rPr>
        <w:t>投诉湘雅二医院周边综合提质改造的问题。</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lang w:eastAsia="zh-CN"/>
        </w:rPr>
        <w:t>、深入实施“党建聚合力”工程，以高质量党建引领高质量发展情况。</w:t>
      </w:r>
    </w:p>
    <w:p>
      <w:pPr>
        <w:keepNext w:val="0"/>
        <w:keepLines w:val="0"/>
        <w:pageBreakBefore w:val="0"/>
        <w:kinsoku/>
        <w:wordWrap/>
        <w:overflowPunct/>
        <w:topLinePunct w:val="0"/>
        <w:autoSpaceDE/>
        <w:autoSpaceDN/>
        <w:bidi w:val="0"/>
        <w:adjustRightInd/>
        <w:snapToGrid/>
        <w:spacing w:beforeAutospacing="0" w:afterAutospacing="0" w:line="500" w:lineRule="exact"/>
        <w:ind w:leftChars="0" w:firstLine="640" w:firstLineChars="200"/>
        <w:jc w:val="both"/>
        <w:textAlignment w:val="baseline"/>
        <w:rPr>
          <w:rStyle w:val="11"/>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b w:val="0"/>
          <w:bCs w:val="0"/>
          <w:sz w:val="32"/>
          <w:szCs w:val="32"/>
          <w:lang w:val="en-US" w:eastAsia="zh-CN"/>
        </w:rPr>
        <w:t>一是强引领，党建统揽聚合力。</w:t>
      </w:r>
      <w:r>
        <w:rPr>
          <w:rStyle w:val="11"/>
          <w:rFonts w:hint="eastAsia" w:ascii="仿宋_GB2312" w:hAnsi="仿宋_GB2312" w:eastAsia="仿宋_GB2312" w:cs="仿宋_GB2312"/>
          <w:b w:val="0"/>
          <w:bCs w:val="0"/>
          <w:i w:val="0"/>
          <w:caps w:val="0"/>
          <w:color w:val="000000"/>
          <w:spacing w:val="0"/>
          <w:w w:val="100"/>
          <w:kern w:val="2"/>
          <w:sz w:val="32"/>
          <w:szCs w:val="32"/>
          <w:lang w:val="en-US" w:eastAsia="zh-CN" w:bidi="ar-SA"/>
        </w:rPr>
        <w:t>与“芙蓉先锋共同体”成员单位中南大学湘雅二医院签署战略合作框架协议，推动与医院深度协作。落实班子成员每人联系1个基层党支部和干部考察听取党支部意见制度。深挖西南联大教学旧址、古潭坪支部等红色本土资源，结合党史学习教育，“万名党员进党校”做好宣讲培训工作。</w:t>
      </w:r>
      <w:r>
        <w:rPr>
          <w:rFonts w:hint="eastAsia" w:ascii="仿宋_GB2312" w:hAnsi="仿宋_GB2312" w:eastAsia="仿宋_GB2312" w:cs="仿宋_GB2312"/>
          <w:b w:val="0"/>
          <w:bCs w:val="0"/>
          <w:sz w:val="32"/>
          <w:szCs w:val="32"/>
          <w:lang w:val="en-US" w:eastAsia="zh-CN"/>
        </w:rPr>
        <w:t>二是谋全局，党建融合促发展。</w:t>
      </w:r>
      <w:r>
        <w:rPr>
          <w:rStyle w:val="11"/>
          <w:rFonts w:hint="eastAsia" w:ascii="仿宋_GB2312" w:hAnsi="仿宋_GB2312" w:eastAsia="仿宋_GB2312" w:cs="仿宋_GB2312"/>
          <w:b w:val="0"/>
          <w:bCs w:val="0"/>
          <w:i w:val="0"/>
          <w:caps w:val="0"/>
          <w:color w:val="000000"/>
          <w:spacing w:val="0"/>
          <w:w w:val="100"/>
          <w:kern w:val="2"/>
          <w:sz w:val="32"/>
          <w:szCs w:val="32"/>
          <w:lang w:val="en-US" w:eastAsia="zh-CN" w:bidi="ar-SA"/>
        </w:rPr>
        <w:t>通过楼宇党建促留商招商</w:t>
      </w:r>
      <w:r>
        <w:rPr>
          <w:rStyle w:val="11"/>
          <w:rFonts w:hint="eastAsia" w:ascii="仿宋_GB2312" w:hAnsi="仿宋_GB2312" w:eastAsia="仿宋_GB2312" w:cs="仿宋_GB2312"/>
          <w:b w:val="0"/>
          <w:bCs w:val="0"/>
          <w:i w:val="0"/>
          <w:caps w:val="0"/>
          <w:spacing w:val="0"/>
          <w:w w:val="100"/>
          <w:kern w:val="2"/>
          <w:sz w:val="32"/>
          <w:szCs w:val="32"/>
          <w:lang w:val="en-US" w:eastAsia="zh-CN" w:bidi="ar-SA"/>
        </w:rPr>
        <w:t>新增“四上”单位21家。将湘雅二医院周边环境改造及服务升级纳入“我为群众办实事”重点清单，通过党建引领违章拆除和项目改造，充分发挥党员作用，仅用时30天，将片区违章建筑152处，12个门面全部拆除，面积共计12690平方米，啃下几十年的“硬骨头”。</w:t>
      </w:r>
      <w:r>
        <w:rPr>
          <w:rFonts w:hint="eastAsia" w:ascii="仿宋_GB2312" w:hAnsi="仿宋_GB2312" w:eastAsia="仿宋_GB2312" w:cs="仿宋_GB2312"/>
          <w:b w:val="0"/>
          <w:bCs w:val="0"/>
          <w:sz w:val="32"/>
          <w:szCs w:val="32"/>
          <w:lang w:val="en-US" w:eastAsia="zh-CN"/>
        </w:rPr>
        <w:t>三是办实事，基层治理增实效。</w:t>
      </w:r>
      <w:r>
        <w:rPr>
          <w:rStyle w:val="11"/>
          <w:rFonts w:hint="eastAsia" w:ascii="仿宋_GB2312" w:hAnsi="仿宋_GB2312" w:eastAsia="仿宋_GB2312" w:cs="仿宋_GB2312"/>
          <w:b w:val="0"/>
          <w:bCs w:val="0"/>
          <w:i w:val="0"/>
          <w:caps w:val="0"/>
          <w:spacing w:val="0"/>
          <w:w w:val="100"/>
          <w:kern w:val="2"/>
          <w:sz w:val="32"/>
          <w:szCs w:val="32"/>
          <w:lang w:val="en-US" w:eastAsia="zh-CN" w:bidi="ar-SA"/>
        </w:rPr>
        <w:t>探索建立新古潭坪党支部，成立行业自治小组，推进街巷治理现代化。成立“医路相伴”志愿服务站，35名雷锋志愿者提供常态化便民服务，大力缓解了群众看病难题。</w:t>
      </w:r>
      <w:r>
        <w:rPr>
          <w:rStyle w:val="11"/>
          <w:rFonts w:hint="eastAsia" w:ascii="仿宋_GB2312" w:hAnsi="仿宋_GB2312" w:eastAsia="仿宋_GB2312" w:cs="仿宋_GB2312"/>
          <w:b w:val="0"/>
          <w:bCs w:val="0"/>
          <w:i w:val="0"/>
          <w:caps w:val="0"/>
          <w:color w:val="000000"/>
          <w:spacing w:val="0"/>
          <w:w w:val="100"/>
          <w:kern w:val="2"/>
          <w:sz w:val="32"/>
          <w:szCs w:val="32"/>
          <w:lang w:val="en-US" w:eastAsia="zh-CN" w:bidi="ar-SA"/>
        </w:rPr>
        <w:t>通过构建“党建引领、多方共治”小区治理架构释放组织红利，破解一批电梯加装、消防、自来水改造等民生问题。</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4、加强领导班子建设、严肃党内政治生活等情况。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是抓实政治建设。增强“四个意识”，做到“两个维护”，不断提高“政治三力”，筑牢理想信念，推进学习教育常态化，补足精神之“钙”。严格执行新形势下党内政治生活若干准则，认真落实“三会一课”、民主生活会和组织生活会等制度。二是加强自身建设。班子落实工作当先锋、作表率，带头开展提质改造、招商引资、安全生产检查、企业走访、防疫等工作。持续正风肃纪不松懈，全面开展廉政教育。三是坚持党委统揽全局。加强对人大、政协的领导，支持和保障其依法履行职责。发挥工会、共青团、妇联等群团组织的作用，团结和调动一切积极因素和力量；加强党管武装工作，为促进发展、维护和谐稳定凝聚最广泛的共识。</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5、贯彻党管干部原则，加强干部队伍建设等情况。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一是强化用人导向。坚持“干就看得见、不干就看不见”坚持“能者上、庸者下、劣者汰”的用人导向，今年街道党工委集中清理</w:t>
      </w:r>
      <w:r>
        <w:rPr>
          <w:rFonts w:hint="eastAsia" w:ascii="仿宋_GB2312" w:hAnsi="仿宋_GB2312" w:eastAsia="仿宋_GB2312" w:cs="仿宋_GB2312"/>
          <w:b w:val="0"/>
          <w:bCs w:val="0"/>
          <w:sz w:val="32"/>
          <w:szCs w:val="32"/>
          <w:lang w:val="en-US" w:eastAsia="zh-CN"/>
        </w:rPr>
        <w:t>7名</w:t>
      </w:r>
      <w:r>
        <w:rPr>
          <w:rFonts w:hint="eastAsia" w:ascii="仿宋_GB2312" w:hAnsi="仿宋_GB2312" w:eastAsia="仿宋_GB2312" w:cs="仿宋_GB2312"/>
          <w:b w:val="0"/>
          <w:bCs w:val="0"/>
          <w:sz w:val="32"/>
          <w:szCs w:val="32"/>
          <w:lang w:eastAsia="zh-CN"/>
        </w:rPr>
        <w:t>临聘人员，以实绩考核竞聘上岗，提升岗位竞争力。二是加强常态教育管理。建立健全干部培育选用机制，开办脱产培训班，培优后备力量。提拔7名工作人员到社区任领导职务，优化社区年龄结构，培育志愿者队伍，参与中心工作，开展常态化志愿服务。三是提升创新实干能力。强化领导示范、强化比学赶超、强化考核考评、强化激励机制，鞭策全体干部事业上心、责任上肩，激励干部真抓实干、攻坚克难、争先创优、担当作为。</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6、落实依法决策、科学决策、民主决策，讨论和决定重大问题等情况。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街道党工委严格落实区委关于“三重一大”指示精神，严格落实依法决策、科学决策、民主决策，凡属“三重一大”事项，由街道班子会议形成初步方案，提交党工委和纪工委专题审议，街道党工委全年共研究重大问题决策64项，重要干部任免3次，大额资金89笔。</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7、履行党风廉政建设主体责任，加强党风廉政建设，支持纪检监察机构履行监督责任等情况。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是把政治纪律和政治规矩立起来。街道党工委牢牢扛起党风廉政建设主体责任，严格遵守党章和党纪党规，综合运用好监督执纪“四种形态”，开展廉政谈话20人次，提醒谈话16人次。加强纪律教育，使铁的纪律转化为党员干部的日常习惯。二是把关口前移和惩防并举实起来。严查重点领域关键环节腐败问题，加强对选人用人、财务等风险易发环节的监督，对疫情防控、中央环保督查、党史学习教育、区六届人大代表换届选举、湘雅二医院周边综合提质改造等中心工作专项督查15次。大力整治吃拿卡要等不正之风，今年处理了1起社会事务管理员吃饭逃单、收受红包礼金案例，解除了该工作人员的劳动关系。三是把作风建设和制度建设严起来。加强作风建设，街道党工委组织定期召开作风建设大会。对上下班及请销假情况开展日常监督，并对有不良工作作风现象的8位聘用人员进行廉政谈话。健全完善监督治理体系，做好巡察整改“后半篇”文章，落实落细整改要求，问题整改100%，推动全面从严治党形成长效机制。</w:t>
      </w:r>
    </w:p>
    <w:p>
      <w:pPr>
        <w:keepNext w:val="0"/>
        <w:keepLines w:val="0"/>
        <w:pageBreakBefore w:val="0"/>
        <w:widowControl w:val="0"/>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8</w:t>
      </w:r>
      <w:r>
        <w:rPr>
          <w:rFonts w:hint="eastAsia" w:ascii="楷体" w:hAnsi="楷体" w:eastAsia="楷体" w:cs="楷体"/>
          <w:b/>
          <w:bCs/>
          <w:sz w:val="32"/>
          <w:szCs w:val="32"/>
          <w:lang w:eastAsia="zh-CN"/>
        </w:rPr>
        <w:t>、</w:t>
      </w:r>
      <w:r>
        <w:rPr>
          <w:rFonts w:hint="eastAsia" w:ascii="楷体" w:hAnsi="楷体" w:eastAsia="楷体" w:cs="楷体"/>
          <w:b/>
          <w:bCs/>
          <w:sz w:val="32"/>
          <w:szCs w:val="32"/>
        </w:rPr>
        <w:t>市对区绩效考核指标完成情况</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rPr>
        <w:t>连续三年实现省电信5G基站建设项目全省投资总部申报，已累计实现77亿投资入库，成功引进省水运建设投资集团有限公司“澧水石门至澧县航道建设工程”项目，总投资36亿元。实现医疗健康类企业落户18家，实现4家年内税收已超50万元的企业落户，引进湖南省旅游集团、湖南省食用油控股集团两家优质税源企业，助力行业蓬勃发展。</w:t>
      </w:r>
      <w:r>
        <w:rPr>
          <w:rFonts w:hint="eastAsia" w:ascii="仿宋_GB2312" w:hAnsi="仿宋_GB2312" w:eastAsia="仿宋_GB2312" w:cs="仿宋_GB2312"/>
          <w:b w:val="0"/>
          <w:bCs w:val="0"/>
          <w:sz w:val="32"/>
          <w:szCs w:val="32"/>
          <w:lang w:eastAsia="zh-CN"/>
        </w:rPr>
        <w:t>二是中南大学</w:t>
      </w:r>
      <w:r>
        <w:rPr>
          <w:rFonts w:hint="eastAsia" w:ascii="仿宋_GB2312" w:hAnsi="仿宋_GB2312" w:eastAsia="仿宋_GB2312" w:cs="仿宋_GB2312"/>
          <w:b w:val="0"/>
          <w:bCs w:val="0"/>
          <w:sz w:val="32"/>
          <w:szCs w:val="32"/>
        </w:rPr>
        <w:t>湘雅二医院周边提质改造项目获得省委党史学习教育指导组长宋建民、长沙市委书记吴桂英、市长郑建新等多位市领导高度评价。</w:t>
      </w:r>
      <w:r>
        <w:rPr>
          <w:rFonts w:hint="eastAsia" w:ascii="仿宋_GB2312" w:hAnsi="仿宋_GB2312" w:eastAsia="仿宋_GB2312" w:cs="仿宋_GB2312"/>
          <w:b w:val="0"/>
          <w:bCs w:val="0"/>
          <w:sz w:val="32"/>
          <w:szCs w:val="32"/>
          <w:lang w:eastAsia="zh-CN"/>
        </w:rPr>
        <w:t>三是</w:t>
      </w:r>
      <w:r>
        <w:rPr>
          <w:rFonts w:hint="eastAsia" w:ascii="仿宋_GB2312" w:hAnsi="仿宋_GB2312" w:eastAsia="仿宋_GB2312" w:cs="仿宋_GB2312"/>
          <w:b w:val="0"/>
          <w:bCs w:val="0"/>
          <w:sz w:val="32"/>
          <w:szCs w:val="32"/>
        </w:rPr>
        <w:t>文艺新村社区禁毒工作接受了国家禁毒办副主任、公安部禁毒局副局长熊德生莅临指导，街道成功获选2021年度长沙市禁毒示范街道。</w:t>
      </w:r>
      <w:r>
        <w:rPr>
          <w:rFonts w:hint="eastAsia" w:ascii="仿宋_GB2312" w:hAnsi="仿宋_GB2312" w:eastAsia="仿宋_GB2312" w:cs="仿宋_GB2312"/>
          <w:b w:val="0"/>
          <w:bCs w:val="0"/>
          <w:sz w:val="32"/>
          <w:szCs w:val="32"/>
          <w:lang w:eastAsia="zh-CN"/>
        </w:rPr>
        <w:t>四是</w:t>
      </w:r>
      <w:r>
        <w:rPr>
          <w:rFonts w:hint="eastAsia" w:ascii="仿宋_GB2312" w:hAnsi="仿宋_GB2312" w:eastAsia="仿宋_GB2312" w:cs="仿宋_GB2312"/>
          <w:b w:val="0"/>
          <w:bCs w:val="0"/>
          <w:sz w:val="32"/>
          <w:szCs w:val="32"/>
        </w:rPr>
        <w:t>长沙市委政法委书记张敏调研街道诉源治理工作，充分肯定诉源治理、纠纷调解等工作成效。</w:t>
      </w:r>
    </w:p>
    <w:p>
      <w:pPr>
        <w:keepNext w:val="0"/>
        <w:keepLines w:val="0"/>
        <w:pageBreakBefore w:val="0"/>
        <w:widowControl w:val="0"/>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9</w:t>
      </w:r>
      <w:r>
        <w:rPr>
          <w:rFonts w:hint="eastAsia" w:ascii="楷体" w:hAnsi="楷体" w:eastAsia="楷体" w:cs="楷体"/>
          <w:b/>
          <w:bCs/>
          <w:sz w:val="32"/>
          <w:szCs w:val="32"/>
          <w:lang w:eastAsia="zh-CN"/>
        </w:rPr>
        <w:t>、</w:t>
      </w:r>
      <w:r>
        <w:rPr>
          <w:rFonts w:hint="eastAsia" w:ascii="楷体" w:hAnsi="楷体" w:eastAsia="楷体" w:cs="楷体"/>
          <w:b/>
          <w:bCs/>
          <w:sz w:val="32"/>
          <w:szCs w:val="32"/>
        </w:rPr>
        <w:t>重要工作开展情况</w:t>
      </w:r>
      <w:r>
        <w:rPr>
          <w:rFonts w:hint="eastAsia" w:ascii="楷体" w:hAnsi="楷体" w:eastAsia="楷体" w:cs="楷体"/>
          <w:b/>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rPr>
        <w:t>紧追发展目标，打好经济建设突击战</w:t>
      </w:r>
      <w:r>
        <w:rPr>
          <w:rFonts w:hint="eastAsia" w:ascii="仿宋_GB2312" w:hAnsi="仿宋_GB2312" w:eastAsia="仿宋_GB2312" w:cs="仿宋_GB2312"/>
          <w:b w:val="0"/>
          <w:bCs w:val="0"/>
          <w:sz w:val="32"/>
          <w:szCs w:val="32"/>
          <w:lang w:eastAsia="zh-CN"/>
        </w:rPr>
        <w:t>。“深挖+强引”两手发力稳住了经济指标大盘</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lang w:eastAsia="zh-CN"/>
        </w:rPr>
        <w:t>成功引进省水运建设投资集团36亿元固投项目；省旅游集团、省食用油控股集团等优质税源企业先后落户芙蓉区；4家年内税收超50万元的企业在我街道落户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z w:val="32"/>
          <w:szCs w:val="32"/>
          <w:lang w:eastAsia="zh-CN"/>
        </w:rPr>
        <w:t>二是紧贴群众需求，打好民生服务持久战。</w:t>
      </w:r>
      <w:r>
        <w:rPr>
          <w:rFonts w:hint="eastAsia" w:ascii="仿宋_GB2312" w:hAnsi="仿宋_GB2312" w:eastAsia="仿宋_GB2312" w:cs="仿宋_GB2312"/>
          <w:b w:val="0"/>
          <w:bCs w:val="0"/>
          <w:sz w:val="32"/>
          <w:szCs w:val="32"/>
        </w:rPr>
        <w:t>历时100天全面完成</w:t>
      </w:r>
      <w:r>
        <w:rPr>
          <w:rFonts w:hint="eastAsia" w:ascii="仿宋_GB2312" w:hAnsi="仿宋_GB2312" w:eastAsia="仿宋_GB2312" w:cs="仿宋_GB2312"/>
          <w:b w:val="0"/>
          <w:bCs w:val="0"/>
          <w:sz w:val="32"/>
          <w:szCs w:val="32"/>
          <w:lang w:eastAsia="zh-CN"/>
        </w:rPr>
        <w:t>湘雅二医院周边提质改造工作，同步完成了省政府机关二院、复兴街25号等另外4个老旧小区提质改造和2栋危房改造、2处私人独栋危房重建工作，大幅度提升了辖区人居品质。常态化推进疫情防控及疫苗接种工作，街道无一例隔离人员失控，无一例核酸阳性。全年完成旱厕改造36个、新增车位53个、加装电梯51台，社区养老中心实现全覆盖，识字里社区、文艺新村社区银龄食堂相继开业，辖区安居乐业氛围浓厚。三是紧盯重点难点，打好城市管理攻坚战。</w:t>
      </w:r>
      <w:r>
        <w:rPr>
          <w:rFonts w:hint="eastAsia" w:ascii="仿宋_GB2312" w:hAnsi="仿宋_GB2312" w:eastAsia="仿宋_GB2312" w:cs="仿宋_GB2312"/>
          <w:b w:val="0"/>
          <w:bCs w:val="0"/>
          <w:sz w:val="32"/>
          <w:szCs w:val="32"/>
          <w:lang w:val="en-US" w:eastAsia="zh-CN"/>
        </w:rPr>
        <w:t>深化背街小巷综合整治和长效治理，灵活运用红黑榜、集体约谈等办法加强对不文明行为的约束和打击。抓实市容环境整治，对主次干道、背街小巷每周集中清洗，全面消除卫生死角。积极处理市区数字平台案卷7000余条。中央环保督察15个交办问题全部整改并结案。</w:t>
      </w:r>
      <w:r>
        <w:rPr>
          <w:rFonts w:hint="eastAsia" w:ascii="仿宋_GB2312" w:hAnsi="仿宋_GB2312" w:eastAsia="仿宋_GB2312" w:cs="仿宋_GB2312"/>
          <w:b w:val="0"/>
          <w:bCs w:val="0"/>
          <w:sz w:val="32"/>
          <w:szCs w:val="32"/>
          <w:lang w:eastAsia="zh-CN"/>
        </w:rPr>
        <w:t>四是紧抓风险防控，打好安全稳定保卫战。</w:t>
      </w:r>
      <w:r>
        <w:rPr>
          <w:rFonts w:hint="eastAsia" w:ascii="仿宋_GB2312" w:hAnsi="仿宋_GB2312" w:eastAsia="仿宋_GB2312" w:cs="仿宋_GB2312"/>
          <w:b w:val="0"/>
          <w:bCs w:val="0"/>
          <w:kern w:val="2"/>
          <w:sz w:val="32"/>
          <w:szCs w:val="32"/>
          <w:lang w:val="en-US" w:eastAsia="zh-CN" w:bidi="ar-SA"/>
        </w:rPr>
        <w:t>高质量化解省委第九巡视组督办的信访案件，今年交办的8个重点对象均已签定息访息诉承诺书。成立“文艺路街道中南大学湘雅二医院诉源治理工作站”，共化解全街纠纷案件1193件。全年开展常态化排查企业门店731家，发现并整改安全隐患96处，今年未发生重大安全生产责任事故。</w:t>
      </w:r>
    </w:p>
    <w:p>
      <w:pPr>
        <w:keepNext w:val="0"/>
        <w:keepLines w:val="0"/>
        <w:pageBreakBefore w:val="0"/>
        <w:widowControl w:val="0"/>
        <w:kinsoku/>
        <w:wordWrap/>
        <w:overflowPunct/>
        <w:topLinePunct w:val="0"/>
        <w:autoSpaceDE/>
        <w:autoSpaceDN/>
        <w:bidi w:val="0"/>
        <w:adjustRightInd/>
        <w:snapToGrid/>
        <w:spacing w:line="500" w:lineRule="exact"/>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10、荣获市级及以上荣誉情况，在市级及以上重要会议、活动等经验推介情况，在市级及以上主流媒体宣传推介情况；</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所获荣誉以及重要媒体报道。</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（1）选送“就认这个理”微党课《挑战不可能》获全市三等奖，“党课开讲啦”《万里长空舞忠魂》获十佳精品课程。</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（2）乔庄社区获评长沙市五一劳动奖状。</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（3）乔庄社区获评长沙市2020届文明社区。</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（4）南元宫社区获得最佳“五老红”志愿服务组织。</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（5）南元宫社区获得长沙市先进基层党组织。</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（6）南元宫社区获得红十字会博爱家园项目。</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（7）南元宫社区获得长沙市两型创建单位。</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（8）识字里社区获得长沙市2020届文明社区。</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（9）东广济桥社区获得长沙市信访局关于表彰信访工作基础“业务规范单位”和“业务能手”的通报。</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（10）东广济桥社区获得长沙市科普社区。</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（11）东广济桥社区获得2016—2020年长沙市普法工作先进集体。</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（12）文艺新村社区获得长沙市社区禁毒社区康复工作示范点。</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default" w:ascii="Times New Roman" w:hAnsi="Times New Roman" w:eastAsia="仿宋_GB2312" w:cs="Times New Roman"/>
          <w:color w:val="000000"/>
          <w:sz w:val="32"/>
          <w:szCs w:val="32"/>
        </w:rPr>
      </w:pPr>
      <w:r>
        <w:rPr>
          <w:rFonts w:hint="eastAsia" w:ascii="仿宋_GB2312" w:hAnsi="仿宋_GB2312" w:eastAsia="仿宋_GB2312" w:cs="仿宋_GB2312"/>
          <w:b w:val="0"/>
          <w:bCs w:val="0"/>
          <w:sz w:val="32"/>
          <w:szCs w:val="32"/>
          <w:lang w:val="en-US" w:eastAsia="zh-CN"/>
        </w:rPr>
        <w:t>（13）识字里社区白沙路57号老旧小区改造先后CCTV-1新闻频道《给城市“体检”“全科医生”怎么当？》专题报道小区旧改先进经验。</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绩效评价工作机制有待进一步完善，由于在平时工作中未加强对绩效监控工作的重视，绩效监控工作容易滞后，未形成对绩效目标进行监控的习惯。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kern w:val="2"/>
          <w:sz w:val="32"/>
          <w:szCs w:val="32"/>
          <w:lang w:val="en-US" w:eastAsia="zh-CN" w:bidi="ar-SA"/>
        </w:rPr>
        <w:t>十、</w:t>
      </w:r>
      <w:r>
        <w:rPr>
          <w:rFonts w:hint="default" w:ascii="Times New Roman" w:hAnsi="Times New Roman" w:eastAsia="黑体" w:cs="Times New Roman"/>
          <w:kern w:val="2"/>
          <w:sz w:val="32"/>
          <w:szCs w:val="32"/>
          <w:lang w:val="en-US" w:eastAsia="zh-CN" w:bidi="ar-SA"/>
        </w:rPr>
        <w:t>下一步</w:t>
      </w:r>
      <w:r>
        <w:rPr>
          <w:rFonts w:hint="default" w:ascii="Times New Roman" w:hAnsi="Times New Roman" w:eastAsia="黑体" w:cs="Times New Roman"/>
          <w:sz w:val="32"/>
          <w:szCs w:val="32"/>
        </w:rPr>
        <w:t>改进措施</w:t>
      </w:r>
    </w:p>
    <w:p>
      <w:pPr>
        <w:adjustRightInd w:val="0"/>
        <w:snapToGrid w:val="0"/>
        <w:spacing w:line="560" w:lineRule="exact"/>
        <w:ind w:firstLine="420" w:firstLineChars="200"/>
        <w:rPr>
          <w:rFonts w:eastAsia="仿宋_GB2312"/>
          <w:b/>
          <w:bCs/>
          <w:sz w:val="32"/>
          <w:szCs w:val="32"/>
        </w:rPr>
      </w:pPr>
      <w:r>
        <w:rPr>
          <w:rFonts w:hint="eastAsia"/>
          <w:lang w:val="en-US" w:eastAsia="zh-CN"/>
        </w:rPr>
        <w:t xml:space="preserve">  </w:t>
      </w:r>
      <w:r>
        <w:rPr>
          <w:rFonts w:hint="eastAsia" w:eastAsia="黑体" w:cs="宋体"/>
          <w:kern w:val="0"/>
          <w:sz w:val="32"/>
          <w:szCs w:val="32"/>
        </w:rPr>
        <w:t xml:space="preserve"> </w:t>
      </w:r>
      <w:r>
        <w:rPr>
          <w:rFonts w:hint="eastAsia" w:eastAsia="仿宋_GB2312"/>
          <w:b/>
          <w:bCs/>
          <w:sz w:val="32"/>
          <w:szCs w:val="32"/>
        </w:rPr>
        <w:t>（一）制定有效绩效监控机制，确保绩效目标完成</w:t>
      </w:r>
    </w:p>
    <w:p>
      <w:pPr>
        <w:spacing w:line="600" w:lineRule="exact"/>
        <w:ind w:firstLine="640" w:firstLineChars="200"/>
        <w:rPr>
          <w:rFonts w:ascii="仿宋" w:hAnsi="仿宋" w:eastAsia="仿宋"/>
          <w:sz w:val="32"/>
          <w:szCs w:val="32"/>
        </w:rPr>
      </w:pPr>
      <w:r>
        <w:rPr>
          <w:rFonts w:ascii="仿宋" w:hAnsi="仿宋" w:eastAsia="仿宋"/>
          <w:sz w:val="32"/>
          <w:szCs w:val="32"/>
        </w:rPr>
        <w:t>科学设置预算绩效指标，合理安排经费和各项资金，使其物尽其用，更加贴合街道财务工作的实际情况，能够合理运用现有资源，及时协调并向上级多争取资金，保证各预算绩效指标的顺利实施。</w:t>
      </w:r>
    </w:p>
    <w:p>
      <w:pPr>
        <w:adjustRightInd w:val="0"/>
        <w:snapToGrid w:val="0"/>
        <w:spacing w:line="560" w:lineRule="exact"/>
        <w:ind w:firstLine="643" w:firstLineChars="200"/>
        <w:rPr>
          <w:rFonts w:eastAsia="仿宋_GB2312"/>
          <w:b/>
          <w:bCs/>
          <w:sz w:val="32"/>
          <w:szCs w:val="32"/>
        </w:rPr>
      </w:pPr>
      <w:r>
        <w:rPr>
          <w:rFonts w:hint="eastAsia" w:eastAsia="仿宋_GB2312"/>
          <w:b/>
          <w:bCs/>
          <w:sz w:val="32"/>
          <w:szCs w:val="32"/>
        </w:rPr>
        <w:t>（二）科学合理编制预算，严格执行预算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需调剂预算的，按规定程序报经批准。</w:t>
      </w:r>
    </w:p>
    <w:p>
      <w:pPr>
        <w:adjustRightInd w:val="0"/>
        <w:snapToGrid w:val="0"/>
        <w:spacing w:line="560" w:lineRule="exact"/>
        <w:ind w:firstLine="643" w:firstLineChars="200"/>
        <w:rPr>
          <w:rFonts w:eastAsia="仿宋_GB2312"/>
          <w:b/>
          <w:bCs/>
          <w:sz w:val="32"/>
          <w:szCs w:val="32"/>
        </w:rPr>
      </w:pPr>
      <w:r>
        <w:rPr>
          <w:rFonts w:hint="eastAsia" w:eastAsia="仿宋_GB2312"/>
          <w:b/>
          <w:bCs/>
          <w:sz w:val="32"/>
          <w:szCs w:val="32"/>
        </w:rPr>
        <w:t>（三）加强管理，严控行政支出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严格控制“三公”经费的规模和比例，把关“三公”经费支出的审核、审批，杜绝挪用和挤占其他预算资金行为；进一步细化“三公”经费的管理，合理压缩“三公”经费支出。</w:t>
      </w:r>
    </w:p>
    <w:p>
      <w:pPr>
        <w:adjustRightInd w:val="0"/>
        <w:snapToGrid w:val="0"/>
        <w:spacing w:line="560" w:lineRule="exact"/>
        <w:ind w:firstLine="643" w:firstLineChars="200"/>
        <w:rPr>
          <w:rFonts w:eastAsia="仿宋_GB2312"/>
          <w:b/>
          <w:bCs/>
          <w:sz w:val="32"/>
          <w:szCs w:val="32"/>
        </w:rPr>
      </w:pPr>
      <w:r>
        <w:rPr>
          <w:rFonts w:hint="eastAsia" w:eastAsia="仿宋_GB2312"/>
          <w:b/>
          <w:bCs/>
          <w:sz w:val="32"/>
          <w:szCs w:val="32"/>
        </w:rPr>
        <w:t>（四）强化学习培训，提高思想认识</w:t>
      </w:r>
    </w:p>
    <w:p>
      <w:pPr>
        <w:spacing w:line="600" w:lineRule="exact"/>
        <w:ind w:firstLine="640" w:firstLineChars="200"/>
        <w:rPr>
          <w:rFonts w:hint="default" w:eastAsia="宋体"/>
          <w:lang w:val="en-US" w:eastAsia="zh-CN"/>
        </w:rPr>
      </w:pPr>
      <w:r>
        <w:rPr>
          <w:rFonts w:hint="eastAsia" w:ascii="仿宋" w:hAnsi="仿宋" w:eastAsia="仿宋"/>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十一、</w:t>
      </w:r>
      <w:r>
        <w:rPr>
          <w:rFonts w:hint="default" w:ascii="Times New Roman" w:hAnsi="Times New Roman" w:eastAsia="黑体" w:cs="Times New Roman"/>
          <w:sz w:val="32"/>
          <w:szCs w:val="32"/>
        </w:rPr>
        <w:t>绩效自评结果拟应用和公开情况</w:t>
      </w:r>
    </w:p>
    <w:p>
      <w:pPr>
        <w:pStyle w:val="2"/>
        <w:numPr>
          <w:ilvl w:val="0"/>
          <w:numId w:val="0"/>
        </w:numPr>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文艺路街道办事处严格按规定按程序进行全面的绩效自评，自评结果为优秀，并及时进行公开，接受社会监督。</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 xml:space="preserve">          </w:t>
      </w:r>
      <w:r>
        <w:rPr>
          <w:rFonts w:hint="eastAsia" w:ascii="Times New Roman" w:hAnsi="Times New Roman" w:eastAsia="黑体" w:cs="Times New Roman"/>
          <w:kern w:val="0"/>
          <w:sz w:val="32"/>
          <w:szCs w:val="32"/>
          <w:lang w:eastAsia="zh-CN"/>
        </w:rPr>
        <w:t>长沙市芙蓉区</w:t>
      </w:r>
      <w:r>
        <w:rPr>
          <w:rFonts w:hint="eastAsia" w:eastAsia="黑体" w:cs="宋体"/>
          <w:kern w:val="0"/>
          <w:sz w:val="32"/>
          <w:szCs w:val="32"/>
          <w:lang w:eastAsia="zh-CN"/>
        </w:rPr>
        <w:t>文艺路街道办事处</w:t>
      </w:r>
    </w:p>
    <w:p>
      <w:pPr>
        <w:adjustRightInd w:val="0"/>
        <w:snapToGrid w:val="0"/>
        <w:spacing w:line="600" w:lineRule="exact"/>
        <w:ind w:firstLine="640" w:firstLineChars="200"/>
        <w:jc w:val="righ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 xml:space="preserve">               </w:t>
      </w:r>
      <w:bookmarkStart w:id="0" w:name="_GoBack"/>
      <w:bookmarkEnd w:id="0"/>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2022年3月24日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MmIyYzc5ZWZhNDUxZTAxNjI5MmNlNzEzNGU4ZWMifQ=="/>
  </w:docVars>
  <w:rsids>
    <w:rsidRoot w:val="00000000"/>
    <w:rsid w:val="07325909"/>
    <w:rsid w:val="10CB040D"/>
    <w:rsid w:val="182D7EAA"/>
    <w:rsid w:val="19A0445F"/>
    <w:rsid w:val="1B965141"/>
    <w:rsid w:val="20C91831"/>
    <w:rsid w:val="32763A28"/>
    <w:rsid w:val="351369DB"/>
    <w:rsid w:val="3C8C0353"/>
    <w:rsid w:val="44D32A18"/>
    <w:rsid w:val="461A2CA8"/>
    <w:rsid w:val="752C0796"/>
    <w:rsid w:val="761A08F0"/>
    <w:rsid w:val="7C4717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spacing w:line="400" w:lineRule="exact"/>
      <w:ind w:firstLine="840" w:firstLineChars="400"/>
    </w:pPr>
    <w:rPr>
      <w:rFonts w:ascii="宋体" w:hAnsi="宋体"/>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List Paragraph"/>
    <w:basedOn w:val="1"/>
    <w:qFormat/>
    <w:uiPriority w:val="99"/>
    <w:pPr>
      <w:ind w:firstLine="420" w:firstLineChars="200"/>
    </w:pPr>
    <w:rPr>
      <w:rFonts w:ascii="Calibri" w:hAnsi="Calibri" w:eastAsia="宋体" w:cs="Times New Roman"/>
      <w:szCs w:val="22"/>
    </w:rPr>
  </w:style>
  <w:style w:type="paragraph" w:styleId="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
    <w:name w:val="正文文本1"/>
    <w:basedOn w:val="1"/>
    <w:qFormat/>
    <w:uiPriority w:val="0"/>
  </w:style>
  <w:style w:type="character" w:customStyle="1" w:styleId="11">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9111</Words>
  <Characters>10032</Characters>
  <Lines>0</Lines>
  <Paragraphs>0</Paragraphs>
  <TotalTime>43</TotalTime>
  <ScaleCrop>false</ScaleCrop>
  <LinksUpToDate>false</LinksUpToDate>
  <CharactersWithSpaces>10205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蕾</cp:lastModifiedBy>
  <dcterms:modified xsi:type="dcterms:W3CDTF">2022-09-28T07:07:43Z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48D9752729534CC1A0F01F92CF465396</vt:lpwstr>
  </property>
</Properties>
</file>