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9" w:beforeLines="50" w:after="159" w:afterLines="50"/>
        <w:jc w:val="center"/>
        <w:rPr>
          <w:rFonts w:hint="eastAsia" w:ascii="方正小标宋简体" w:eastAsia="方正小标宋简体" w:cs="宋体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  <w:highlight w:val="none"/>
          <w:lang w:eastAsia="zh-CN"/>
        </w:rPr>
        <w:t>长沙市芙蓉区现代服务业发展中心</w:t>
      </w:r>
      <w:r>
        <w:rPr>
          <w:rFonts w:hint="eastAsia" w:ascii="方正小标宋简体" w:eastAsia="方正小标宋简体" w:cs="宋体"/>
          <w:kern w:val="0"/>
          <w:sz w:val="44"/>
          <w:szCs w:val="44"/>
          <w:highlight w:val="none"/>
          <w:lang w:val="en-US" w:eastAsia="zh-CN"/>
        </w:rPr>
        <w:t>2022年</w:t>
      </w:r>
      <w:r>
        <w:rPr>
          <w:rFonts w:hint="eastAsia" w:ascii="方正小标宋简体" w:eastAsia="方正小标宋简体" w:cs="宋体"/>
          <w:kern w:val="0"/>
          <w:sz w:val="44"/>
          <w:szCs w:val="44"/>
          <w:highlight w:val="none"/>
          <w:lang w:eastAsia="zh-CN"/>
        </w:rPr>
        <w:t>部门整体支出绩效评价报告</w:t>
      </w:r>
    </w:p>
    <w:p>
      <w:pPr>
        <w:numPr>
          <w:ilvl w:val="0"/>
          <w:numId w:val="0"/>
        </w:numPr>
        <w:spacing w:line="572" w:lineRule="exact"/>
        <w:ind w:leftChars="200"/>
      </w:pPr>
      <w:r>
        <w:rPr>
          <w:rFonts w:hint="eastAsia" w:eastAsia="黑体" w:cs="Times New Roman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</w:rPr>
        <w:t>部门概况</w:t>
      </w:r>
    </w:p>
    <w:p>
      <w:pPr>
        <w:numPr>
          <w:ilvl w:val="0"/>
          <w:numId w:val="1"/>
        </w:numPr>
        <w:snapToGrid w:val="0"/>
        <w:spacing w:line="520" w:lineRule="exact"/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部门（单位）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基本情况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1、主要职能。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2022年度，现代服务业发展中心的主要职能职责是贯彻执行国家、省、市、区有关促进楼宇经济、现代服务业发展的法律法规、方针政策。负责全区楼宇管理服务、为区域楼宇经济发展提供组织、协调、服务等工作、负责督促落实区现代服务业工作的各项部署，组织协调区现代服务业发展日常工作。负责楼宇、企业的相关服务和招商工作，搭建服务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平台，优化营商环境，承办区委、区政府交办的其他事项。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负责米粉的技术服务、咨询等相关工作。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2、机构情况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根据编办核定，现代服务业发展中心包括内设科室3个。内设科室分别是办公室、服务业发展室、楼宇经济发展室。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3、人员情况</w:t>
      </w:r>
    </w:p>
    <w:p>
      <w:pPr>
        <w:ind w:firstLine="640" w:firstLineChars="200"/>
        <w:rPr>
          <w:rFonts w:hint="eastAsia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2022年末，现代服务业发展中心实际在职事业编制人员10人，政府雇员1人。</w:t>
      </w:r>
    </w:p>
    <w:p>
      <w:pPr>
        <w:numPr>
          <w:ilvl w:val="0"/>
          <w:numId w:val="1"/>
        </w:numPr>
        <w:snapToGrid w:val="0"/>
        <w:spacing w:line="520" w:lineRule="exact"/>
        <w:ind w:firstLine="643" w:firstLineChars="200"/>
        <w:rPr>
          <w:rFonts w:hint="default" w:ascii="仿宋_GB2312" w:hAnsi="仿宋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>部门整体支出规模、使用方向和主要内容、涉及范</w:t>
      </w: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32"/>
          <w:lang w:val="en-US" w:eastAsia="zh-CN"/>
        </w:rPr>
        <w:t>围。</w:t>
      </w:r>
    </w:p>
    <w:p>
      <w:pPr>
        <w:ind w:firstLine="640" w:firstLineChars="200"/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022年初收入预算数为534.78万元，决算数为388.58万元，其中：财政拨款收入预算为388.58万元。2022年支出预算数为534.78万元，其中基本支出预算数344.78万元，项目支出预算数190万元，决算数为388.58万元，其中基本支出决算数328.81万元，项目支出决算数59.77万元。2022年我单位实际收到388.58万元，实际发生支出388.58万元。其中：财政拨款收入388.58万元，其他收入0万元。本年度以支定收，故决算结余0万元。</w:t>
      </w:r>
    </w:p>
    <w:p>
      <w:pPr>
        <w:numPr>
          <w:ilvl w:val="0"/>
          <w:numId w:val="2"/>
        </w:numPr>
        <w:spacing w:line="572" w:lineRule="exact"/>
        <w:ind w:left="0" w:leftChars="0" w:firstLine="640" w:firstLineChars="200"/>
        <w:rPr>
          <w:rFonts w:hint="eastAsia" w:eastAsia="黑体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（一）基本支出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基本支出是以保障单位机构正常运转、完成日常工作任务的支出。主要包括：基本工资、津贴补贴等人员经费以及办公费、印刷费、水电费、日常办公用品购置等日常公用经费。本单位2022年度基本支出实际收入328.81万元，支出328.81万元，结余0万元。其中：工资福利支出288.43万元、公用经费支出26.47万元、对个人和家庭的补助13.91万元； 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2022年“三公”经费支出为2.84万元，深入贯彻中央八项规定精神和厉行节约的要求，“三公”经费支出很好的控制在预算范围之内。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（二）项目支出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项目资金安排落实、总投入情况分析。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按照区本级预算绩效管理工作的总体要求，2022年本单位预算整体支出绩效目标534.78万元，其中部门项目支出（单位为完成特定行政工作任务或事业发展目标而发生的支出）绩效目标申报5个，资金共计190万元，主要用于现代服务业专项8万元，开展现代服务业企业的管理和服务工作；楼宇服务中心运转经费145万元，打造全区楼宇经济服务窗口；CBD联盟专项5万元，与国内先进CBD加强交流、扩大影响；楼宇信息平台后续维护专项2万元，加强对楼宇经济数据的收集和分析；楼宇招商费用30万元，用于招引楼宇企业等方面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项目资金实际使用情况分析。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本单位财政拨款专项项目2022年度实际收入59.77万元；实际支出59.77万元，本年度以支定收，故决算结余0万元。</w:t>
      </w:r>
    </w:p>
    <w:p>
      <w:pPr>
        <w:ind w:firstLine="640" w:firstLineChars="200"/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单位办公场地于2022年12月31日到期，因租赁场地为国有资产，续租需在依法设立和确定的产权交易机构中公开挂网竞价，手续较为繁琐，流程耗时较长，故楼宇服务中心运转经费项目中场地租赁费（74.94万元）及物业费（13.652万元）推迟至2023年2月才进行支付，以及因疫情影响，原计划的部分招商活动也未能开展，故实际支出较年初预算有较大差距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项目资金管理情况分析，主要包括管理制度、办法的制订及执行情况。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本单位按照内控制度对项目资金进行管理，严格审批专款专用，对财务管理进行规范化，及时与区财政局沟通学习，该公开及时公开，该上报及时上报。</w:t>
      </w:r>
    </w:p>
    <w:p>
      <w:pPr>
        <w:numPr>
          <w:ilvl w:val="0"/>
          <w:numId w:val="2"/>
        </w:numPr>
        <w:spacing w:line="572" w:lineRule="exact"/>
        <w:ind w:left="0" w:leftChars="0" w:firstLine="640" w:firstLineChars="200"/>
        <w:rPr>
          <w:rFonts w:hint="eastAsia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部门项目组织实施情况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（一）项目组织情况分析，主要包括项目招投标、调整、竣工验收等情况。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项目管理情况分析，主要包括项目管理制度建设、日常检查监督管理等情况。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2022年区委巡察组对现代服务业发展中心进行了为期两个多月巡察工作，充分发挥监督检查作用，确保经费使用管理规范。</w:t>
      </w:r>
    </w:p>
    <w:p>
      <w:pPr>
        <w:numPr>
          <w:ilvl w:val="0"/>
          <w:numId w:val="4"/>
        </w:numPr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资产管理情况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（一）项目组织情况分析，主要包括项目招投标、调整、竣工验收等情况。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项目管理情况分析，主要包括项目管理制度建设、日常检查监督管理等情况。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2022年现代服务业发展中心处置了一批资产，均按要求在国资系统和账目上进行了处理，账实相符。</w:t>
      </w:r>
    </w:p>
    <w:p>
      <w:pPr>
        <w:spacing w:line="572" w:lineRule="exact"/>
        <w:ind w:firstLine="640" w:firstLineChars="200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五、政府性基金预算支出情况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本单位本年度没有政府性基金预算支出。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  <w:t>六、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国有资本经营预算支出情况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本单位本年度没有国有资本经营预算支出。</w:t>
      </w:r>
    </w:p>
    <w:p>
      <w:pPr>
        <w:pStyle w:val="8"/>
        <w:numPr>
          <w:ilvl w:val="0"/>
          <w:numId w:val="5"/>
        </w:numPr>
        <w:ind w:firstLine="640" w:firstLineChars="200"/>
        <w:rPr>
          <w:rFonts w:hint="default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  <w:t>社会保险基金预算支出情况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本单位本年度没有社会保险基金预算支出。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八</w:t>
      </w:r>
      <w:r>
        <w:rPr>
          <w:rFonts w:hint="eastAsia" w:eastAsia="黑体"/>
          <w:sz w:val="32"/>
          <w:szCs w:val="32"/>
        </w:rPr>
        <w:t>、部门整体支出绩效情况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2022年度现代服务业发展中心</w:t>
      </w: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依托楼宇资源，以楼宇招商为高质量发展赋能增效，全力促进市对区考核指标争先进位、提升楼宇经济质效，</w:t>
      </w:r>
      <w:r>
        <w:rPr>
          <w:rFonts w:hint="eastAsia" w:ascii="仿宋_GB2312" w:eastAsia="仿宋_GB2312"/>
          <w:color w:val="000000"/>
          <w:sz w:val="32"/>
          <w:szCs w:val="32"/>
        </w:rPr>
        <w:t>芙蓉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区楼宇经济。</w:t>
      </w:r>
      <w:r>
        <w:rPr>
          <w:rFonts w:hint="eastAsia" w:ascii="仿宋_GB2312" w:eastAsia="仿宋_GB2312"/>
          <w:color w:val="000000"/>
          <w:sz w:val="32"/>
          <w:szCs w:val="32"/>
        </w:rPr>
        <w:t>依托部门联楼宇等服务机制，深入盘活楼宇资源，推进楼宇挖潜。全区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60栋挖潜增效楼宇1-12月新增市场主体509家，完成净招商</w:t>
      </w:r>
      <w:r>
        <w:rPr>
          <w:rFonts w:hint="eastAsia" w:ascii="仿宋_GB2312" w:eastAsia="仿宋_GB2312"/>
          <w:color w:val="000000"/>
          <w:sz w:val="32"/>
          <w:szCs w:val="32"/>
        </w:rPr>
        <w:t>面积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2.5万</w:t>
      </w:r>
      <w:r>
        <w:rPr>
          <w:rFonts w:hint="eastAsia" w:ascii="仿宋_GB2312" w:eastAsia="仿宋_GB2312"/>
          <w:color w:val="000000"/>
          <w:sz w:val="32"/>
          <w:szCs w:val="32"/>
        </w:rPr>
        <w:t>平方米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迁转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转性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中化石油湖南有限公司等</w:t>
      </w:r>
      <w:r>
        <w:rPr>
          <w:rFonts w:hint="eastAsia" w:ascii="仿宋_GB2312" w:eastAsia="仿宋_GB2312"/>
          <w:color w:val="000000"/>
          <w:sz w:val="32"/>
          <w:szCs w:val="32"/>
        </w:rPr>
        <w:t>市场主体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152</w:t>
      </w:r>
      <w:r>
        <w:rPr>
          <w:rFonts w:hint="eastAsia" w:ascii="仿宋_GB2312" w:eastAsia="仿宋_GB2312"/>
          <w:color w:val="000000"/>
          <w:sz w:val="32"/>
          <w:szCs w:val="32"/>
        </w:rPr>
        <w:t>家。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实施重点楼宇驻点招商，</w:t>
      </w:r>
      <w:r>
        <w:rPr>
          <w:rFonts w:hint="eastAsia" w:ascii="仿宋_GB2312" w:eastAsia="仿宋_GB2312"/>
          <w:color w:val="000000"/>
          <w:sz w:val="32"/>
          <w:szCs w:val="32"/>
        </w:rPr>
        <w:t>由区现代服务业发展中心一名副主任带队的首个招商服务工作小组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5月</w:t>
      </w:r>
      <w:r>
        <w:rPr>
          <w:rFonts w:hint="eastAsia" w:ascii="仿宋_GB2312" w:eastAsia="仿宋_GB2312"/>
          <w:color w:val="000000"/>
          <w:sz w:val="32"/>
          <w:szCs w:val="32"/>
        </w:rPr>
        <w:t>进驻国金中心办公服务。2022年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国金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跻身税收十亿元楼宇行列。帮助和指导</w:t>
      </w:r>
      <w:r>
        <w:rPr>
          <w:rFonts w:hint="eastAsia" w:ascii="仿宋_GB2312" w:eastAsia="仿宋_GB2312"/>
          <w:color w:val="000000"/>
          <w:sz w:val="32"/>
          <w:szCs w:val="32"/>
        </w:rPr>
        <w:t>世茂环球金融中心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招商，及时介入商务谈判，</w:t>
      </w:r>
      <w:r>
        <w:rPr>
          <w:rFonts w:hint="eastAsia" w:ascii="仿宋_GB2312" w:eastAsia="仿宋_GB2312"/>
          <w:color w:val="000000"/>
          <w:sz w:val="32"/>
          <w:szCs w:val="32"/>
        </w:rPr>
        <w:t>引进大童保险湖南分公司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库迪咖啡湖南总部</w:t>
      </w:r>
      <w:r>
        <w:rPr>
          <w:rFonts w:hint="eastAsia" w:ascii="仿宋_GB2312" w:eastAsia="仿宋_GB2312"/>
          <w:color w:val="000000"/>
          <w:sz w:val="32"/>
          <w:szCs w:val="32"/>
        </w:rPr>
        <w:t>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优质</w:t>
      </w:r>
      <w:r>
        <w:rPr>
          <w:rFonts w:hint="eastAsia" w:ascii="仿宋_GB2312" w:eastAsia="仿宋_GB2312"/>
          <w:color w:val="000000"/>
          <w:sz w:val="32"/>
          <w:szCs w:val="32"/>
        </w:rPr>
        <w:t>企业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2022年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世茂环球金融中心实现税收破亿元。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2022年我中心接待企业来访91批次、拜访企业146批次；引进了一批重点项目，全</w:t>
      </w:r>
      <w:r>
        <w:rPr>
          <w:rFonts w:hint="eastAsia" w:ascii="仿宋_GB2312" w:eastAsia="仿宋_GB2312"/>
          <w:color w:val="000000"/>
          <w:sz w:val="32"/>
          <w:szCs w:val="32"/>
        </w:rPr>
        <w:t>年引进了京东方数科华中区域公司项目、中交机电五公司、动车供应链华中总部、湖南信创源科技有限公司等项目，其中京东方数科华中区域公司项目为中国500强子公司区域总部项目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帮助湖南米粉街招商，在京东超市门面腾出后，赴邵阳等地考察米粉品牌，与湖南锦茂公司多次谈判，成功引进刘聋子粉店。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rPr>
          <w:rFonts w:hint="eastAsia" w:ascii="宋体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服务三湘南湖大厦、湖南文化广场、长房国际广场等新建、在建楼宇，围绕5G、文化、新能源等产业定位，培育特色楼宇。协助三湘南湖大厦有针对性地开展产业链招商，助推其打造5G应用生态特色楼宇，4月全省首个以5G应用为主导的产业园正式落成开放；指导长房国际广场做好前期招商定位，目标为打造“新能源产业大楼”，现已授牌；草拟《自贸区（芙蓉区块）总部办公基地合作共建协议》补充协议，助力旺德府万象时代打造总部办公基地。积极对接市、区统计部门，加强数据研判分析，联动服务业增加值各重点子指标牵头单位（商务局、住建局等）做好工作铺排，夯实数据基础，确保了全年指标稳定有序增长。积极跟进区内服务业重点产业发展动态，按时按质报送季度经济形势分析动态信息。2022年成功推荐3个（内五区仅11个）服务业项目获评2022年度长沙市现代服务业引导专项资金扶持，共计220万元。</w:t>
      </w:r>
      <w:r>
        <w:rPr>
          <w:rFonts w:hint="eastAsia" w:ascii="仿宋_GB2312" w:eastAsia="仿宋_GB2312"/>
          <w:color w:val="000000"/>
          <w:sz w:val="32"/>
          <w:szCs w:val="32"/>
        </w:rPr>
        <w:t>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现代服务业发展中心</w:t>
      </w:r>
      <w:r>
        <w:rPr>
          <w:rFonts w:hint="eastAsia" w:ascii="仿宋_GB2312" w:eastAsia="仿宋_GB2312"/>
          <w:color w:val="000000"/>
          <w:sz w:val="32"/>
          <w:szCs w:val="32"/>
        </w:rPr>
        <w:t>被区委、区政府评为20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32"/>
          <w:szCs w:val="32"/>
        </w:rPr>
        <w:t>年度绩效考核一等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九</w:t>
      </w:r>
      <w:r>
        <w:rPr>
          <w:rFonts w:hint="eastAsia" w:eastAsia="黑体"/>
          <w:sz w:val="32"/>
          <w:szCs w:val="32"/>
        </w:rPr>
        <w:t>、存在的问题</w:t>
      </w:r>
      <w:r>
        <w:rPr>
          <w:rFonts w:hint="eastAsia" w:eastAsia="黑体"/>
          <w:sz w:val="32"/>
          <w:szCs w:val="32"/>
          <w:lang w:eastAsia="zh-CN"/>
        </w:rPr>
        <w:t>及原因分析</w:t>
      </w:r>
    </w:p>
    <w:p>
      <w:pPr>
        <w:pStyle w:val="4"/>
        <w:spacing w:before="0" w:beforeAutospacing="0" w:after="0" w:afterAutospacing="0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1、预算编制不够精细化、科学化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存在个别项目绩效目标未量化的问题，未明确开展活动的具体次数和楼宇品牌具体数量和定位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不方便后期考核。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Calibri" w:hAnsi="Calibri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2、内部控制制度有待进一步完善。</w:t>
      </w:r>
    </w:p>
    <w:p>
      <w:pPr>
        <w:numPr>
          <w:ilvl w:val="0"/>
          <w:numId w:val="6"/>
        </w:numPr>
        <w:adjustRightInd w:val="0"/>
        <w:snapToGrid w:val="0"/>
        <w:spacing w:line="600" w:lineRule="exact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下一步改进措施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3" w:firstLineChars="200"/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（一）合理对项目效益目标进行量化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应加强项目绩效管理，完善绩效目标编制过程的绩效管理机制，从项目绩效目标编制审核入手，加强财政资金的跟踪问效，及时纠正绩效偏差，提升精细化管理水平，提高财政资金的使用效益。其次，编写项目年度绩效目标（定量目标）时采用定量方法描述，从投入、产出和效益三个方面对项目年度绩效目标进行细化和量化，绩效目标值是对绩效内容确定具体值，其中对可量化的用数值描述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（二）完善内部控制制度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进一步完善内部控制制度，形成系统的管理体制，加强对经费的使用管理。按工作要求把握经费使用进度，提高预算执行率，进一步压减年末结余结转数量，充分发挥资金效益。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绩效自评结果拟应用和公开情况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本次绩效自评结果为优，已按时公开。</w:t>
      </w:r>
    </w:p>
    <w:p>
      <w:pPr>
        <w:rPr>
          <w:rFonts w:hint="eastAsia" w:ascii="仿宋_GB2312" w:hAnsi="Times New Roman" w:eastAsia="仿宋_GB2312" w:cs="Times New Roman"/>
          <w:color w:val="000000"/>
          <w:kern w:val="2"/>
          <w:sz w:val="28"/>
          <w:szCs w:val="21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28"/>
          <w:szCs w:val="21"/>
          <w:lang w:val="en-US" w:eastAsia="zh-CN" w:bidi="ar-SA"/>
        </w:rPr>
        <w:t xml:space="preserve">                      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              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长沙市芙蓉区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现代服务业发展中心</w:t>
      </w:r>
    </w:p>
    <w:p>
      <w:pP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               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           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 w:bidi="ar-SA"/>
        </w:rPr>
        <w:t>29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日</w:t>
      </w:r>
    </w:p>
    <w:p>
      <w:pPr>
        <w:rPr>
          <w:sz w:val="32"/>
          <w:szCs w:val="32"/>
        </w:rPr>
      </w:pPr>
    </w:p>
    <w:p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rPr>
          <w:rStyle w:val="10"/>
          <w:rFonts w:hint="default" w:ascii="Times New Roman" w:hAnsi="Times New Roman" w:eastAsia="黑体" w:cs="黑体"/>
          <w:b w:val="0"/>
          <w:i w:val="0"/>
          <w:iCs w:val="0"/>
          <w:lang w:val="en-US" w:eastAsia="zh-CN" w:bidi="ar"/>
        </w:rPr>
      </w:pPr>
      <w:r>
        <w:rPr>
          <w:rStyle w:val="10"/>
          <w:rFonts w:hint="eastAsia" w:ascii="Times New Roman" w:hAnsi="Times New Roman" w:eastAsia="黑体" w:cs="黑体"/>
          <w:b w:val="0"/>
          <w:i w:val="0"/>
          <w:iCs w:val="0"/>
          <w:lang w:eastAsia="zh-CN" w:bidi="ar"/>
        </w:rPr>
        <w:t>附件</w:t>
      </w:r>
      <w:r>
        <w:rPr>
          <w:rStyle w:val="10"/>
          <w:rFonts w:hint="eastAsia" w:ascii="Times New Roman" w:hAnsi="Times New Roman" w:eastAsia="黑体" w:cs="黑体"/>
          <w:b w:val="0"/>
          <w:i w:val="0"/>
          <w:iCs w:val="0"/>
          <w:lang w:val="en-US" w:eastAsia="zh-CN" w:bidi="ar"/>
        </w:rPr>
        <w:t>3</w:t>
      </w:r>
    </w:p>
    <w:p>
      <w:pPr>
        <w:spacing w:before="161" w:beforeLines="50" w:after="161" w:afterLines="50" w:line="7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bidi="ar"/>
        </w:rPr>
        <w:t>部门整体支出绩效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CN" w:bidi="ar"/>
        </w:rPr>
        <w:t>自评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bidi="ar"/>
        </w:rPr>
        <w:t>指标表（参考指标）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lang w:bidi="ar"/>
        </w:rPr>
      </w:pPr>
    </w:p>
    <w:tbl>
      <w:tblPr>
        <w:tblStyle w:val="6"/>
        <w:tblW w:w="147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497"/>
        <w:gridCol w:w="1127"/>
        <w:gridCol w:w="1468"/>
        <w:gridCol w:w="2685"/>
        <w:gridCol w:w="1875"/>
        <w:gridCol w:w="1995"/>
        <w:gridCol w:w="147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部门名称</w:t>
            </w:r>
          </w:p>
        </w:tc>
        <w:tc>
          <w:tcPr>
            <w:tcW w:w="1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eastAsia="楷体" w:cs="Times New Roman"/>
                <w:color w:val="000000"/>
                <w:kern w:val="0"/>
                <w:szCs w:val="21"/>
                <w:lang w:val="en-US" w:eastAsia="zh-CN" w:bidi="ar"/>
              </w:rPr>
              <w:t>长沙市芙蓉区现代服务业发展中心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年度预算申请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（万元）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年初预算数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全年预算数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全年执行数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分值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执行率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年度资金总额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eastAsia="楷体" w:cs="Times New Roman"/>
                <w:color w:val="000000"/>
                <w:kern w:val="0"/>
                <w:szCs w:val="21"/>
                <w:lang w:val="en-US" w:eastAsia="zh-CN" w:bidi="ar"/>
              </w:rPr>
              <w:t>534.78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eastAsia="楷体" w:cs="Times New Roman"/>
                <w:color w:val="000000"/>
                <w:kern w:val="0"/>
                <w:szCs w:val="21"/>
                <w:lang w:val="en-US" w:eastAsia="zh-CN" w:bidi="ar"/>
              </w:rPr>
              <w:t>388.58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10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按收入性质分：</w:t>
            </w: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其中：一般公共预算：</w:t>
            </w: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其中：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政府性基金拨款：</w:t>
            </w: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基本支出：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纳入专户管理的非税收入拨款：</w:t>
            </w: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项目支出：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其他资金：</w:t>
            </w: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经营支出：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年度总体目标</w:t>
            </w:r>
          </w:p>
        </w:tc>
        <w:tc>
          <w:tcPr>
            <w:tcW w:w="6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年初设定目标</w:t>
            </w: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tblHeader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6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年度指标值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实际完成率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分值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  <w:t>得分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  <w:t>产出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指标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成本指标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经济成本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社会成本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生态环境成本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数量指标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15分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  <w:t>实际完成率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时效指标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完成及时性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质量指标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15分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  <w:t>质量达标率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效益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指标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履职效益（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30分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经济效益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社会效益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社会效益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4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……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生态效益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满意度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10分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社会公众或服务对象满意度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eastAsia="zh-CN" w:bidi="ar"/>
              </w:rPr>
              <w:t>总分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Cs w:val="21"/>
                <w:lang w:val="en-US" w:eastAsia="zh-CN" w:bidi="ar"/>
              </w:rPr>
              <w:t>100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42" w:type="dxa"/>
            <w:gridSpan w:val="9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Cs w:val="21"/>
                <w:lang w:bidi="ar"/>
              </w:rPr>
              <w:t>注：指标和分值权重可根据实际情况进行适当调整。</w:t>
            </w:r>
          </w:p>
        </w:tc>
      </w:tr>
    </w:tbl>
    <w:p>
      <w:pPr>
        <w:rPr>
          <w:rFonts w:hint="default" w:ascii="Times New Roman" w:hAnsi="Times New Roman" w:eastAsia="方正黑体简体" w:cs="Times New Roman"/>
          <w:kern w:val="0"/>
          <w:sz w:val="32"/>
          <w:szCs w:val="32"/>
        </w:rPr>
        <w:sectPr>
          <w:pgSz w:w="16838" w:h="11906" w:orient="landscape"/>
          <w:pgMar w:top="1587" w:right="1474" w:bottom="1587" w:left="1474" w:header="851" w:footer="992" w:gutter="0"/>
          <w:cols w:space="720" w:num="1"/>
          <w:docGrid w:type="lines" w:linePitch="323" w:charSpace="0"/>
        </w:sect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0000000000000000000"/>
    <w:charset w:val="7A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21D690"/>
    <w:multiLevelType w:val="singleLevel"/>
    <w:tmpl w:val="8621D69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9C5834"/>
    <w:multiLevelType w:val="singleLevel"/>
    <w:tmpl w:val="B19C5834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7D06AEA"/>
    <w:multiLevelType w:val="singleLevel"/>
    <w:tmpl w:val="D7D06A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CBAAF63"/>
    <w:multiLevelType w:val="singleLevel"/>
    <w:tmpl w:val="1CBAAF6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4320CAE5"/>
    <w:multiLevelType w:val="singleLevel"/>
    <w:tmpl w:val="4320CAE5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09A45F5"/>
    <w:multiLevelType w:val="singleLevel"/>
    <w:tmpl w:val="709A45F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MDVhZjY2YThmZmU1NWZlMDA1N2EzZDgwNzk4ODkifQ=="/>
  </w:docVars>
  <w:rsids>
    <w:rsidRoot w:val="00000000"/>
    <w:rsid w:val="042B621E"/>
    <w:rsid w:val="1C600006"/>
    <w:rsid w:val="223540BF"/>
    <w:rsid w:val="392544B8"/>
    <w:rsid w:val="43187ACF"/>
    <w:rsid w:val="49350DFA"/>
    <w:rsid w:val="51410E9C"/>
    <w:rsid w:val="7DC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00" w:lineRule="exact"/>
      <w:ind w:firstLine="840" w:firstLineChars="400"/>
    </w:pPr>
    <w:rPr>
      <w:rFonts w:ascii="宋体" w:hAnsi="宋体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5">
    <w:name w:val="Body Text First Indent"/>
    <w:basedOn w:val="3"/>
    <w:qFormat/>
    <w:uiPriority w:val="0"/>
    <w:pPr>
      <w:ind w:firstLine="420" w:firstLineChars="100"/>
    </w:pPr>
    <w:rPr>
      <w:rFonts w:ascii="永中宋体" w:hAnsi="永中宋体" w:eastAsia="黑体"/>
    </w:rPr>
  </w:style>
  <w:style w:type="paragraph" w:customStyle="1" w:styleId="8">
    <w:name w:val="No Spacing_57bf975b-e854-4125-b936-3ab8fed47c21"/>
    <w:basedOn w:val="1"/>
    <w:qFormat/>
    <w:uiPriority w:val="0"/>
    <w:rPr>
      <w:rFonts w:ascii="Times New Roman" w:hAnsi="Times New Roman" w:eastAsia="宋体" w:cs="Calibri"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0">
    <w:name w:val="font112"/>
    <w:basedOn w:val="7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3329</Words>
  <Characters>3555</Characters>
  <Lines>0</Lines>
  <Paragraphs>0</Paragraphs>
  <TotalTime>4</TotalTime>
  <ScaleCrop>false</ScaleCrop>
  <LinksUpToDate>false</LinksUpToDate>
  <CharactersWithSpaces>3627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田野</cp:lastModifiedBy>
  <cp:lastPrinted>2023-07-03T08:43:00Z</cp:lastPrinted>
  <dcterms:modified xsi:type="dcterms:W3CDTF">2023-10-07T09:02:19Z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4ED864D136FB4A33B857AE4872000837</vt:lpwstr>
  </property>
</Properties>
</file>