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eastAsia="方正小标宋简体"/>
          <w:sz w:val="44"/>
          <w:szCs w:val="44"/>
        </w:rPr>
      </w:pPr>
      <w:r>
        <w:rPr>
          <w:rFonts w:hint="eastAsia" w:eastAsia="方正小标宋简体"/>
          <w:sz w:val="44"/>
          <w:szCs w:val="44"/>
        </w:rPr>
        <w:t>2019年度</w:t>
      </w:r>
      <w:r>
        <w:rPr>
          <w:rFonts w:hint="eastAsia" w:ascii="Microsoft Sans Serif" w:hAnsi="Microsoft Sans Serif" w:eastAsia="方正小标宋简体" w:cs="Microsoft Sans Serif"/>
          <w:sz w:val="44"/>
          <w:szCs w:val="44"/>
        </w:rPr>
        <w:t>芙蓉区园林绿化</w:t>
      </w:r>
      <w:r>
        <w:rPr>
          <w:rFonts w:hint="eastAsia" w:ascii="Microsoft Sans Serif" w:hAnsi="Microsoft Sans Serif" w:eastAsia="方正小标宋简体" w:cs="Microsoft Sans Serif"/>
          <w:sz w:val="44"/>
          <w:szCs w:val="44"/>
          <w:lang w:eastAsia="zh-CN"/>
        </w:rPr>
        <w:t>维护</w:t>
      </w:r>
      <w:r>
        <w:rPr>
          <w:rFonts w:hint="eastAsia" w:ascii="Microsoft Sans Serif" w:hAnsi="Microsoft Sans Serif" w:eastAsia="方正小标宋简体" w:cs="Microsoft Sans Serif"/>
          <w:sz w:val="44"/>
          <w:szCs w:val="44"/>
        </w:rPr>
        <w:t>中心</w:t>
      </w:r>
      <w:r>
        <w:rPr>
          <w:rFonts w:hint="eastAsia" w:eastAsia="方正小标宋简体"/>
          <w:sz w:val="44"/>
          <w:szCs w:val="44"/>
        </w:rPr>
        <w:t>部门</w:t>
      </w:r>
      <w:r>
        <w:rPr>
          <w:rFonts w:hint="eastAsia" w:eastAsia="方正小标宋简体"/>
          <w:sz w:val="44"/>
          <w:szCs w:val="44"/>
          <w:lang w:val="en-US" w:eastAsia="zh-CN"/>
        </w:rPr>
        <w:t xml:space="preserve">  </w:t>
      </w:r>
      <w:r>
        <w:rPr>
          <w:rFonts w:hint="eastAsia" w:eastAsia="方正小标宋简体"/>
          <w:sz w:val="44"/>
          <w:szCs w:val="44"/>
        </w:rPr>
        <w:t>整体支出绩效评价报告</w:t>
      </w:r>
    </w:p>
    <w:p>
      <w:pPr>
        <w:adjustRightInd w:val="0"/>
        <w:spacing w:line="600" w:lineRule="exact"/>
        <w:ind w:firstLine="640" w:firstLineChars="200"/>
        <w:rPr>
          <w:rFonts w:eastAsia="仿宋_GB2312"/>
          <w:sz w:val="32"/>
          <w:szCs w:val="32"/>
        </w:rPr>
      </w:pPr>
    </w:p>
    <w:p>
      <w:pPr>
        <w:ind w:firstLine="640" w:firstLineChars="200"/>
        <w:rPr>
          <w:rFonts w:eastAsia="黑体"/>
          <w:kern w:val="0"/>
          <w:sz w:val="32"/>
          <w:szCs w:val="32"/>
        </w:rPr>
      </w:pPr>
      <w:r>
        <w:rPr>
          <w:rFonts w:hint="eastAsia" w:eastAsia="黑体"/>
          <w:kern w:val="0"/>
          <w:sz w:val="32"/>
          <w:szCs w:val="32"/>
        </w:rPr>
        <w:t>一、部门概况</w:t>
      </w:r>
    </w:p>
    <w:p>
      <w:pPr>
        <w:widowControl/>
        <w:ind w:firstLine="640" w:firstLineChars="200"/>
        <w:jc w:val="left"/>
        <w:rPr>
          <w:rFonts w:ascii="仿宋" w:hAnsi="仿宋" w:eastAsia="仿宋" w:cs="仿宋"/>
          <w:color w:val="555555"/>
          <w:kern w:val="0"/>
          <w:sz w:val="32"/>
          <w:szCs w:val="32"/>
        </w:rPr>
      </w:pPr>
      <w:r>
        <w:rPr>
          <w:rFonts w:hint="eastAsia" w:ascii="仿宋" w:hAnsi="仿宋" w:eastAsia="仿宋" w:cs="仿宋"/>
          <w:sz w:val="32"/>
          <w:szCs w:val="32"/>
        </w:rPr>
        <w:t>（一）部门基本情况</w:t>
      </w:r>
    </w:p>
    <w:p>
      <w:pPr>
        <w:widowControl/>
        <w:ind w:firstLine="960" w:firstLineChars="300"/>
        <w:jc w:val="left"/>
        <w:rPr>
          <w:rFonts w:ascii="仿宋" w:hAnsi="仿宋" w:eastAsia="仿宋" w:cs="仿宋"/>
          <w:sz w:val="32"/>
          <w:szCs w:val="32"/>
        </w:rPr>
      </w:pPr>
      <w:r>
        <w:rPr>
          <w:rFonts w:hint="eastAsia" w:ascii="仿宋" w:hAnsi="仿宋" w:eastAsia="仿宋" w:cs="仿宋"/>
          <w:sz w:val="32"/>
          <w:szCs w:val="32"/>
        </w:rPr>
        <w:t>1、人员情况。我中心现为两块牌子（芙蓉区园林绿化维护中心和芙蓉风景园林有限公司），一套人员；现有干部职工122人，其中在职职工64人，退休职工58人，公益性岗位编制</w:t>
      </w:r>
      <w:r>
        <w:rPr>
          <w:rFonts w:hint="eastAsia" w:ascii="仿宋" w:hAnsi="仿宋" w:eastAsia="仿宋" w:cs="仿宋"/>
          <w:color w:val="auto"/>
          <w:sz w:val="32"/>
          <w:szCs w:val="32"/>
        </w:rPr>
        <w:t>人员为277人</w:t>
      </w:r>
      <w:r>
        <w:rPr>
          <w:rFonts w:hint="eastAsia" w:ascii="仿宋" w:hAnsi="仿宋" w:eastAsia="仿宋" w:cs="仿宋"/>
          <w:sz w:val="32"/>
          <w:szCs w:val="32"/>
        </w:rPr>
        <w:t>。 </w:t>
      </w:r>
    </w:p>
    <w:p>
      <w:pPr>
        <w:widowControl/>
        <w:ind w:firstLine="960" w:firstLineChars="300"/>
        <w:jc w:val="left"/>
        <w:rPr>
          <w:rFonts w:ascii="仿宋" w:hAnsi="仿宋" w:eastAsia="仿宋" w:cs="仿宋"/>
          <w:sz w:val="32"/>
          <w:szCs w:val="32"/>
        </w:rPr>
      </w:pPr>
      <w:r>
        <w:rPr>
          <w:rFonts w:hint="eastAsia" w:ascii="仿宋" w:hAnsi="仿宋" w:eastAsia="仿宋" w:cs="仿宋"/>
          <w:sz w:val="32"/>
          <w:szCs w:val="32"/>
        </w:rPr>
        <w:t>2、机构设置。本单位无二级机构，下设办公室、财务科、纪检监察室、后勤科、绿化管理科、工程技术科、维护科、浏阳河风光带综合管理办公室、五一绿化广场综合管理办公室。</w:t>
      </w:r>
    </w:p>
    <w:p>
      <w:pPr>
        <w:widowControl/>
        <w:ind w:firstLine="960" w:firstLineChars="300"/>
        <w:jc w:val="left"/>
        <w:rPr>
          <w:rFonts w:ascii="仿宋" w:hAnsi="仿宋" w:eastAsia="仿宋" w:cs="仿宋"/>
          <w:sz w:val="32"/>
          <w:szCs w:val="32"/>
        </w:rPr>
      </w:pPr>
      <w:r>
        <w:rPr>
          <w:rFonts w:hint="eastAsia" w:ascii="仿宋" w:hAnsi="仿宋" w:eastAsia="仿宋" w:cs="仿宋"/>
          <w:sz w:val="32"/>
          <w:szCs w:val="32"/>
        </w:rPr>
        <w:t>3、主要职能。职能有三项：一是维护养护职能。对建成区辖区范围内的公共绿地（广场）履行维护作业和综合管理职责。二是建设职能。市区重点绿化工程建设；辖区内新建、改建、扩建绿地建设指标控制的审核；建设工程项目的绿化建设投资费用控制的审核。三是行业监管职能。辖区内新建及新建未移交绿化的监管；组织开展全民义务植树活动及爱绿护绿宣传；辖区内“全国绿化模范单位”、“绿色庭院”、“绿色社区”的创建指导；古树名木的保护和管理。</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（二）2019年预算执行情况 </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2019年预算批复3525.24万元，全年实际到位指标4947.52万元（预算内财政拨款收入4847.48万元，预算外其他收入100.04万元）；实际支出7322.14万元，其中基本支出</w:t>
      </w:r>
      <w:r>
        <w:rPr>
          <w:rFonts w:hint="eastAsia" w:ascii="仿宋" w:hAnsi="仿宋" w:eastAsia="仿宋" w:cs="仿宋"/>
          <w:color w:val="222222"/>
          <w:sz w:val="32"/>
          <w:szCs w:val="32"/>
        </w:rPr>
        <w:t>2069.6</w:t>
      </w:r>
      <w:r>
        <w:rPr>
          <w:rFonts w:hint="eastAsia" w:ascii="仿宋" w:hAnsi="仿宋" w:eastAsia="仿宋" w:cs="仿宋"/>
          <w:sz w:val="32"/>
          <w:szCs w:val="32"/>
        </w:rPr>
        <w:t>万元，项目支出</w:t>
      </w:r>
      <w:r>
        <w:rPr>
          <w:rFonts w:hint="eastAsia" w:ascii="仿宋" w:hAnsi="仿宋" w:eastAsia="仿宋" w:cs="仿宋"/>
          <w:color w:val="222222"/>
          <w:sz w:val="32"/>
          <w:szCs w:val="32"/>
        </w:rPr>
        <w:t>5252.54</w:t>
      </w:r>
      <w:r>
        <w:rPr>
          <w:rFonts w:hint="eastAsia" w:ascii="仿宋" w:hAnsi="仿宋" w:eastAsia="仿宋" w:cs="仿宋"/>
          <w:sz w:val="32"/>
          <w:szCs w:val="32"/>
        </w:rPr>
        <w:t>万元；上年结余3061.64万元，本年结余687.0</w:t>
      </w:r>
      <w:r>
        <w:rPr>
          <w:rFonts w:hint="eastAsia" w:ascii="仿宋" w:hAnsi="仿宋" w:eastAsia="仿宋" w:cs="仿宋"/>
          <w:sz w:val="32"/>
          <w:szCs w:val="32"/>
          <w:lang w:val="en-US" w:eastAsia="zh-CN"/>
        </w:rPr>
        <w:t>2</w:t>
      </w:r>
      <w:r>
        <w:rPr>
          <w:rFonts w:hint="eastAsia" w:ascii="仿宋" w:hAnsi="仿宋" w:eastAsia="仿宋" w:cs="仿宋"/>
          <w:sz w:val="32"/>
          <w:szCs w:val="32"/>
        </w:rPr>
        <w:t>万元。按科目分类工资福利支出</w:t>
      </w:r>
      <w:r>
        <w:rPr>
          <w:rFonts w:hint="eastAsia" w:ascii="仿宋" w:hAnsi="仿宋" w:eastAsia="仿宋" w:cs="仿宋"/>
          <w:color w:val="222222"/>
          <w:sz w:val="32"/>
          <w:szCs w:val="32"/>
        </w:rPr>
        <w:t>2682.03</w:t>
      </w:r>
      <w:r>
        <w:rPr>
          <w:rFonts w:hint="eastAsia" w:ascii="仿宋" w:hAnsi="仿宋" w:eastAsia="仿宋" w:cs="仿宋"/>
          <w:sz w:val="32"/>
          <w:szCs w:val="32"/>
        </w:rPr>
        <w:t>万元，商品服务支出</w:t>
      </w:r>
      <w:r>
        <w:rPr>
          <w:rFonts w:hint="eastAsia" w:ascii="仿宋" w:hAnsi="仿宋" w:eastAsia="仿宋" w:cs="仿宋"/>
          <w:color w:val="222222"/>
          <w:sz w:val="32"/>
          <w:szCs w:val="32"/>
        </w:rPr>
        <w:t>1578.78</w:t>
      </w:r>
      <w:r>
        <w:rPr>
          <w:rFonts w:hint="eastAsia" w:ascii="仿宋" w:hAnsi="仿宋" w:eastAsia="仿宋" w:cs="仿宋"/>
          <w:sz w:val="32"/>
          <w:szCs w:val="32"/>
        </w:rPr>
        <w:t>万元，对个人和家庭补助支出</w:t>
      </w:r>
      <w:r>
        <w:rPr>
          <w:rFonts w:hint="eastAsia" w:ascii="仿宋" w:hAnsi="仿宋" w:eastAsia="仿宋" w:cs="仿宋"/>
          <w:color w:val="222222"/>
          <w:sz w:val="32"/>
          <w:szCs w:val="32"/>
        </w:rPr>
        <w:t>262.22</w:t>
      </w:r>
      <w:r>
        <w:rPr>
          <w:rFonts w:hint="eastAsia" w:ascii="仿宋" w:hAnsi="仿宋" w:eastAsia="仿宋" w:cs="仿宋"/>
          <w:sz w:val="32"/>
          <w:szCs w:val="32"/>
        </w:rPr>
        <w:t>万元，其他资本性支出</w:t>
      </w:r>
      <w:r>
        <w:rPr>
          <w:rFonts w:hint="eastAsia" w:ascii="仿宋" w:hAnsi="仿宋" w:eastAsia="仿宋" w:cs="仿宋"/>
          <w:color w:val="222222"/>
          <w:sz w:val="32"/>
          <w:szCs w:val="32"/>
        </w:rPr>
        <w:t>2799.11</w:t>
      </w:r>
      <w:r>
        <w:rPr>
          <w:rFonts w:hint="eastAsia" w:ascii="仿宋" w:hAnsi="仿宋" w:eastAsia="仿宋" w:cs="仿宋"/>
          <w:sz w:val="32"/>
          <w:szCs w:val="32"/>
        </w:rPr>
        <w:t xml:space="preserve"> 万元。</w:t>
      </w:r>
    </w:p>
    <w:p>
      <w:pPr>
        <w:ind w:firstLine="640" w:firstLineChars="200"/>
        <w:rPr>
          <w:rFonts w:eastAsia="黑体"/>
          <w:kern w:val="0"/>
          <w:sz w:val="32"/>
          <w:szCs w:val="32"/>
        </w:rPr>
      </w:pPr>
      <w:r>
        <w:rPr>
          <w:rFonts w:hint="eastAsia" w:eastAsia="黑体"/>
          <w:kern w:val="0"/>
          <w:sz w:val="32"/>
          <w:szCs w:val="32"/>
        </w:rPr>
        <w:t>二、部门整体支出管理及使用情况</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（一）部门资金使用情况 </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园林绿化</w:t>
      </w:r>
      <w:r>
        <w:rPr>
          <w:rFonts w:hint="eastAsia" w:ascii="仿宋" w:hAnsi="仿宋" w:eastAsia="仿宋" w:cs="仿宋"/>
          <w:sz w:val="32"/>
          <w:szCs w:val="32"/>
          <w:lang w:eastAsia="zh-CN"/>
        </w:rPr>
        <w:t>维护</w:t>
      </w:r>
      <w:r>
        <w:rPr>
          <w:rFonts w:hint="eastAsia" w:ascii="仿宋" w:hAnsi="仿宋" w:eastAsia="仿宋" w:cs="仿宋"/>
          <w:sz w:val="32"/>
          <w:szCs w:val="32"/>
        </w:rPr>
        <w:t>中心2019年财政支出7322.14万元。基本支出2069.6万元，主要用于人员经费及日常公用经费支出；项目支出5252.54万元，主要园林维护人员经费、项目经费支出。 </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三公”经费支出2.78万元，其中：公务用车购置及运行费2.78万元，我中心对公车实行定点维修、定点加油、统一保险等制度，节假日严格执行公务车辆封存，不存在超标准配备公车或豪华装饰公务用车行为；厉行节约，全年无公务接待费支出和因公出国（境）费支出。 </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（二）部门资金管理情况 </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 1、强化事业单位的资产管理制度防止国有资产流失。一是做好资产管理的基础工作。进一步完善固定资产管理制度。对所占有、使用的国有资产应当定期清查盘点，对固定资产的真实性、完整性进行核实，保证账账、账卡、账实相符；二是提高资产管理信息化水平，实现资产管理领域的信息化，使资产管理与预算管理更好地结合。         </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 2、加强和完善绩效考核。建立健全完备的考评体系，使各级领导、各有关部门及人员在工作中按规定行使职权，调动单位负责人、职能部门和职工的积极性。  </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rPr>
        <w:t>3、编制资金使用计划，从严控制支出。根据自身的情况，科学合理地编制资金使用计划，制定费用消耗限额及定额，严格控制开支范围和开支标准，优先保证正常运转需要，最大限度地挤出资金用于事业发展，对于节约潜力大、管理薄弱的支出项目要实行重点管理和控制。 </w:t>
      </w:r>
    </w:p>
    <w:p>
      <w:pPr>
        <w:widowControl/>
        <w:ind w:firstLine="640" w:firstLineChars="200"/>
        <w:jc w:val="left"/>
        <w:rPr>
          <w:rFonts w:ascii="仿宋_GB2312" w:hAnsi="仿宋" w:eastAsia="仿宋_GB2312"/>
          <w:color w:val="222222"/>
          <w:sz w:val="32"/>
          <w:szCs w:val="32"/>
        </w:rPr>
      </w:pPr>
      <w:r>
        <w:rPr>
          <w:rFonts w:hint="eastAsia" w:ascii="仿宋" w:hAnsi="仿宋" w:eastAsia="仿宋" w:cs="仿宋"/>
          <w:sz w:val="32"/>
          <w:szCs w:val="32"/>
        </w:rPr>
        <w:t> 4、严格预算开支，建立财务管理的内部控制制度。预算一经下达，就要严格执行。主要方法是：①岗位分工控制，保证不相容职务相互分离。②授权批准控制，严格遵循授权范围和权限，重大会计事项建立集体审批制度。③会计系统控制，制定符合单位的会计制度和岗位责任制等。④财产清查控制，采取定期盘点的措施确保资产的安全完整。</w:t>
      </w:r>
      <w:r>
        <w:rPr>
          <w:rFonts w:hint="eastAsia" w:ascii="仿宋_GB2312" w:hAnsi="仿宋" w:eastAsia="仿宋_GB2312"/>
          <w:color w:val="222222"/>
          <w:sz w:val="32"/>
          <w:szCs w:val="32"/>
        </w:rPr>
        <w:t> </w:t>
      </w:r>
    </w:p>
    <w:p>
      <w:pPr>
        <w:ind w:firstLine="640" w:firstLineChars="200"/>
        <w:rPr>
          <w:rFonts w:eastAsia="黑体"/>
          <w:kern w:val="0"/>
          <w:sz w:val="32"/>
          <w:szCs w:val="32"/>
        </w:rPr>
      </w:pPr>
      <w:r>
        <w:rPr>
          <w:rFonts w:hint="eastAsia" w:eastAsia="黑体"/>
          <w:kern w:val="0"/>
          <w:sz w:val="32"/>
          <w:szCs w:val="32"/>
        </w:rPr>
        <w:t>三、部门项目组织实施情况</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落实绿化维护，绿化质量不断提高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扎实做好日常维护。全年累计修剪行道树2万余株，补栽乔木800余棵、麦冬草1.3万m²、草皮3万m²，清除杂草15万余㎡；积极开展抗旱保苗工作，累计出动洒水作业车辆2000余台次、作业人员4000余人次，保障城区绿地植物正常生长。认真落实鲜花氛围布置任务，在国庆、“两会一节”、中非博览会等重要节假日、重大活动中，累计摆放布置鲜花近150万株；对“两点三线”、省委周边等重要区域累计新增鲜花盆景50余万盆，大力推进花化彩化项目建设。积极引入市场服务。实现4个社区公园日常维护、6座立交桥和省委通道立体绿化维护、公共绿化带白蚁防治及浏阳河风光带绿化保洁等项目的服务外包，对照标准严格量化考核，加强对服务项目的过程监管，提高公共绿化质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（二）注重绿化建设，绿化品味不断提升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拓展完善公共休闲空间。全面完成解放路街心转角水体改造工程，改造面积约500平方米，总投资近百万；修补浏阳河东岸风光带景观设施，维修改造浏阳河西岸风光带公共洗手间，为打造城市名片做好基础设施保障。实现重要路段景观品质提升。提质京珠西辅道边坡绿化，整治路段全长约1134米，面积约15000㎡；完成京珠高速东辅道（远大路—高家坡路）道路两厢绿化工程，为东、西两侧人行道栽植行道树，增加东侧行道树树池及树池盖板；改造2号线地铁口及五一商圈周边树围，安装玻璃钢树池篦子400余套，从细微处扮靓城市形象。圆满完成迎国庆大型街景布置工作。打造人民东路入城口和凌霄花街凌霄广场等8个绿雕项目，完成芙蓉中路、韶山北路等6条道路花卉景观布置任务。在全市的项目评选评比活动中，我区的人民东路东路入城口和凌霄广场绿雕分获综合三等奖和人气三等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（三）加速造绿复绿，绿化成果不断巩固</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高质量推进为民办实事项目。建成公园、游园7个，新增绿地面积20公顷。加强日常巡查力度。处理占绿毁绿事件20余起、为民办实事现场排查处理死危树10余起，按时办结市区数字化来单、“12345”市民来单等1320余起。优化绿化管理服务。做好中华龙舟赛赛区安全、设施、绿化巡查，全天巡逻、文明劝导，共维修更换亮化景观灯、堤灯266盏，清理垃圾21吨；邀请林科大专家教授对辖区古树名木保护进行现场指导，确保古树名木长势良好；做好五一广场绿化提质改造监管和接管筹备工作。开展爱绿护绿宣传。3月12日，组织在滨河路匝道口开展全民义务植树活动，湖南卫视新闻联播等多家媒体进行宣传</w:t>
      </w:r>
      <w:r>
        <w:rPr>
          <w:rFonts w:hint="eastAsia" w:ascii="仿宋_GB2312" w:hAnsi="仿宋_GB2312" w:eastAsia="仿宋_GB2312" w:cs="仿宋_GB2312"/>
          <w:sz w:val="32"/>
          <w:szCs w:val="32"/>
          <w:lang w:eastAsia="zh-CN"/>
        </w:rPr>
        <w:t>报道</w:t>
      </w:r>
      <w:r>
        <w:rPr>
          <w:rFonts w:hint="eastAsia" w:ascii="仿宋_GB2312" w:hAnsi="仿宋_GB2312" w:eastAsia="仿宋_GB2312" w:cs="仿宋_GB2312"/>
          <w:sz w:val="32"/>
          <w:szCs w:val="32"/>
        </w:rPr>
        <w:t>。推进文明创建迎检工作。加大对绿化问题的整治力度，出动800余人次上路巡查，处理绿化问题600余起，及时更新广场、社区公园</w:t>
      </w:r>
      <w:bookmarkStart w:id="0" w:name="_GoBack"/>
      <w:r>
        <w:rPr>
          <w:rFonts w:hint="eastAsia" w:ascii="仿宋_GB2312" w:hAnsi="仿宋_GB2312" w:eastAsia="仿宋_GB2312" w:cs="仿宋_GB2312"/>
          <w:sz w:val="32"/>
          <w:szCs w:val="32"/>
        </w:rPr>
        <w:t>等</w:t>
      </w:r>
      <w:bookmarkEnd w:id="0"/>
      <w:r>
        <w:rPr>
          <w:rFonts w:hint="eastAsia" w:ascii="仿宋_GB2312" w:hAnsi="仿宋_GB2312" w:eastAsia="仿宋_GB2312" w:cs="仿宋_GB2312"/>
          <w:sz w:val="32"/>
          <w:szCs w:val="32"/>
        </w:rPr>
        <w:t>地公益广告69块，有效营造护绿好风尚，弘扬社会正能量。</w:t>
      </w:r>
    </w:p>
    <w:p>
      <w:pPr>
        <w:numPr>
          <w:ilvl w:val="0"/>
          <w:numId w:val="2"/>
        </w:numPr>
        <w:ind w:firstLine="640" w:firstLineChars="200"/>
        <w:jc w:val="left"/>
        <w:rPr>
          <w:rFonts w:ascii="黑体" w:hAnsi="黑体" w:eastAsia="黑体" w:cs="黑体"/>
          <w:sz w:val="32"/>
          <w:szCs w:val="32"/>
        </w:rPr>
      </w:pPr>
      <w:r>
        <w:rPr>
          <w:rFonts w:hint="eastAsia" w:ascii="黑体" w:hAnsi="黑体" w:eastAsia="黑体" w:cs="黑体"/>
          <w:sz w:val="32"/>
          <w:szCs w:val="32"/>
        </w:rPr>
        <w:t>部门整体支出绩效情况</w:t>
      </w:r>
    </w:p>
    <w:p>
      <w:pPr>
        <w:ind w:firstLine="640" w:firstLineChars="200"/>
        <w:jc w:val="left"/>
        <w:rPr>
          <w:rFonts w:ascii="仿宋_GB2312" w:hAnsi="仿宋_GB2312" w:eastAsia="仿宋_GB2312" w:cs="仿宋_GB2312"/>
          <w:sz w:val="32"/>
          <w:szCs w:val="32"/>
        </w:rPr>
      </w:pPr>
      <w:r>
        <w:rPr>
          <w:rFonts w:hint="eastAsia" w:ascii="仿宋_GB2312" w:hAnsi="仿宋" w:eastAsia="仿宋_GB2312"/>
          <w:sz w:val="32"/>
          <w:szCs w:val="32"/>
        </w:rPr>
        <w:t>  芙蓉区园林绿化</w:t>
      </w:r>
      <w:r>
        <w:rPr>
          <w:rFonts w:hint="eastAsia" w:ascii="仿宋_GB2312" w:hAnsi="仿宋" w:eastAsia="仿宋_GB2312"/>
          <w:sz w:val="32"/>
          <w:szCs w:val="32"/>
          <w:lang w:eastAsia="zh-CN"/>
        </w:rPr>
        <w:t>维护</w:t>
      </w:r>
      <w:r>
        <w:rPr>
          <w:rFonts w:hint="eastAsia" w:ascii="仿宋_GB2312" w:hAnsi="仿宋" w:eastAsia="仿宋_GB2312"/>
          <w:sz w:val="32"/>
          <w:szCs w:val="32"/>
        </w:rPr>
        <w:t>中心积极组织实</w:t>
      </w:r>
      <w:r>
        <w:rPr>
          <w:rFonts w:hint="eastAsia" w:ascii="仿宋_GB2312" w:hAnsi="仿宋_GB2312" w:eastAsia="仿宋_GB2312" w:cs="仿宋_GB2312"/>
          <w:sz w:val="32"/>
          <w:szCs w:val="32"/>
        </w:rPr>
        <w:t>施了2019年度园林维护项目，规范了实施程序，较好地完成了2019年度的绩效目标任务。</w:t>
      </w:r>
    </w:p>
    <w:p>
      <w:pPr>
        <w:adjustRightInd w:val="0"/>
        <w:snapToGrid w:val="0"/>
        <w:ind w:firstLine="640" w:firstLineChars="200"/>
        <w:rPr>
          <w:rFonts w:ascii="仿宋_GB2312" w:hAnsi="仿宋_GB2312" w:eastAsia="仿宋_GB2312" w:cs="仿宋_GB2312"/>
          <w:sz w:val="32"/>
          <w:szCs w:val="32"/>
        </w:rPr>
      </w:pPr>
    </w:p>
    <w:p>
      <w:pPr>
        <w:adjustRightInd w:val="0"/>
        <w:snapToGrid w:val="0"/>
        <w:ind w:firstLine="640" w:firstLineChars="200"/>
        <w:rPr>
          <w:rFonts w:ascii="仿宋_GB2312" w:hAnsi="仿宋_GB2312" w:eastAsia="仿宋_GB2312" w:cs="仿宋_GB2312"/>
          <w:sz w:val="32"/>
          <w:szCs w:val="32"/>
        </w:rPr>
      </w:pPr>
    </w:p>
    <w:p>
      <w:pPr>
        <w:adjustRightInd w:val="0"/>
        <w:snapToGrid w:val="0"/>
        <w:ind w:firstLine="640" w:firstLineChars="200"/>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长沙市芙蓉区园林绿化</w:t>
      </w:r>
      <w:r>
        <w:rPr>
          <w:rFonts w:hint="eastAsia" w:ascii="仿宋_GB2312" w:hAnsi="仿宋_GB2312" w:eastAsia="仿宋_GB2312" w:cs="仿宋_GB2312"/>
          <w:sz w:val="32"/>
          <w:szCs w:val="32"/>
          <w:lang w:eastAsia="zh-CN"/>
        </w:rPr>
        <w:t>维护</w:t>
      </w:r>
      <w:r>
        <w:rPr>
          <w:rFonts w:hint="eastAsia" w:ascii="仿宋_GB2312" w:hAnsi="仿宋_GB2312" w:eastAsia="仿宋_GB2312" w:cs="仿宋_GB2312"/>
          <w:sz w:val="32"/>
          <w:szCs w:val="32"/>
        </w:rPr>
        <w:t>中心</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2020年4月23日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Microsoft Sans Serif">
    <w:panose1 w:val="020B0604020202020204"/>
    <w:charset w:val="00"/>
    <w:family w:val="swiss"/>
    <w:pitch w:val="default"/>
    <w:sig w:usb0="E1002AFF" w:usb1="C0000002" w:usb2="00000008"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53AE1"/>
    <w:multiLevelType w:val="singleLevel"/>
    <w:tmpl w:val="80053AE1"/>
    <w:lvl w:ilvl="0" w:tentative="0">
      <w:start w:val="4"/>
      <w:numFmt w:val="chineseCounting"/>
      <w:suff w:val="nothing"/>
      <w:lvlText w:val="%1、"/>
      <w:lvlJc w:val="left"/>
      <w:rPr>
        <w:rFonts w:hint="eastAsia"/>
      </w:rPr>
    </w:lvl>
  </w:abstractNum>
  <w:abstractNum w:abstractNumId="1">
    <w:nsid w:val="770BB083"/>
    <w:multiLevelType w:val="singleLevel"/>
    <w:tmpl w:val="770BB08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6"/>
    <w:rsid w:val="001918D0"/>
    <w:rsid w:val="00270C1B"/>
    <w:rsid w:val="00271AA6"/>
    <w:rsid w:val="00272BE3"/>
    <w:rsid w:val="002E45B1"/>
    <w:rsid w:val="00353A22"/>
    <w:rsid w:val="00404052"/>
    <w:rsid w:val="0048575B"/>
    <w:rsid w:val="00597174"/>
    <w:rsid w:val="0075438E"/>
    <w:rsid w:val="00871395"/>
    <w:rsid w:val="0092306F"/>
    <w:rsid w:val="00966A0E"/>
    <w:rsid w:val="009B2ED1"/>
    <w:rsid w:val="009D5881"/>
    <w:rsid w:val="00B048AB"/>
    <w:rsid w:val="00B160C6"/>
    <w:rsid w:val="00B20A97"/>
    <w:rsid w:val="00B5573F"/>
    <w:rsid w:val="00B66009"/>
    <w:rsid w:val="00BA4978"/>
    <w:rsid w:val="00DE0A95"/>
    <w:rsid w:val="00F77C8D"/>
    <w:rsid w:val="00F849F5"/>
    <w:rsid w:val="07F20DDA"/>
    <w:rsid w:val="18984D0D"/>
    <w:rsid w:val="21854F4D"/>
    <w:rsid w:val="24C14A30"/>
    <w:rsid w:val="251D31E8"/>
    <w:rsid w:val="368963C3"/>
    <w:rsid w:val="3DD03A6D"/>
    <w:rsid w:val="3E482F60"/>
    <w:rsid w:val="46D70546"/>
    <w:rsid w:val="73D911C1"/>
    <w:rsid w:val="7CD06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Char"/>
    <w:basedOn w:val="7"/>
    <w:link w:val="2"/>
    <w:qFormat/>
    <w:uiPriority w:val="9"/>
    <w:rPr>
      <w:rFonts w:ascii="宋体" w:hAnsi="宋体" w:eastAsia="宋体" w:cs="宋体"/>
      <w:b/>
      <w:bCs/>
      <w:kern w:val="36"/>
      <w:sz w:val="48"/>
      <w:szCs w:val="48"/>
    </w:rPr>
  </w:style>
  <w:style w:type="character" w:customStyle="1" w:styleId="9">
    <w:name w:val="页眉 Char"/>
    <w:basedOn w:val="7"/>
    <w:link w:val="4"/>
    <w:semiHidden/>
    <w:qFormat/>
    <w:uiPriority w:val="99"/>
    <w:rPr>
      <w:kern w:val="2"/>
      <w:sz w:val="18"/>
      <w:szCs w:val="18"/>
    </w:rPr>
  </w:style>
  <w:style w:type="character" w:customStyle="1" w:styleId="10">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401</Words>
  <Characters>2292</Characters>
  <Lines>19</Lines>
  <Paragraphs>5</Paragraphs>
  <TotalTime>18</TotalTime>
  <ScaleCrop>false</ScaleCrop>
  <LinksUpToDate>false</LinksUpToDate>
  <CharactersWithSpaces>2688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2020-04-23T01:35:00Z</dcterms:created>
  <dc:creator>Administrator</dc:creator>
  <cp:lastModifiedBy>李青</cp:lastModifiedBy>
  <dcterms:modified xsi:type="dcterms:W3CDTF">2022-04-24T07:15:21Z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eyJoZGlkIjoiNGJlNDYxMmQzNDJhZjdiZDJkYTk1MWUzNzgzMTAxNjIifQ==</vt:lpwstr>
  </property>
  <property fmtid="{D5CDD505-2E9C-101B-9397-08002B2CF9AE}" pid="4" name="ICV">
    <vt:lpwstr>2EEF5494303F41B7B3E855CCCCB3CDDA</vt:lpwstr>
  </property>
</Properties>
</file>