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2"/>
        <w:gridCol w:w="796"/>
        <w:gridCol w:w="796"/>
        <w:gridCol w:w="2246"/>
        <w:gridCol w:w="176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2020年度芙蓉区“三公”经费支出决算表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决算数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决算较上年决算数增减%</w:t>
            </w:r>
          </w:p>
        </w:tc>
        <w:tc>
          <w:tcPr>
            <w:tcW w:w="2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决算占预算的比例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574.44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183.24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-51.2</w:t>
            </w:r>
          </w:p>
        </w:tc>
        <w:tc>
          <w:tcPr>
            <w:tcW w:w="2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一、因公出国（境）费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-100</w:t>
            </w:r>
          </w:p>
        </w:tc>
        <w:tc>
          <w:tcPr>
            <w:tcW w:w="2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二、公务接待费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107.94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-27.78</w:t>
            </w:r>
          </w:p>
        </w:tc>
        <w:tc>
          <w:tcPr>
            <w:tcW w:w="2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三、公务用车购置及运行维护费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397.5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170.14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-47.18</w:t>
            </w:r>
          </w:p>
        </w:tc>
        <w:tc>
          <w:tcPr>
            <w:tcW w:w="2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其中：公务用车购置费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-100</w:t>
            </w:r>
          </w:p>
        </w:tc>
        <w:tc>
          <w:tcPr>
            <w:tcW w:w="2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其中：公务用车运行维护费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397.5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170.14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-49.4</w:t>
            </w:r>
          </w:p>
        </w:tc>
        <w:tc>
          <w:tcPr>
            <w:tcW w:w="2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42.80%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2020年度芙蓉区“三公”经费说明</w:t>
      </w:r>
    </w:p>
    <w:p>
      <w:pPr>
        <w:pStyle w:val="3"/>
        <w:spacing w:before="0" w:line="600" w:lineRule="exact"/>
        <w:ind w:left="0" w:firstLine="640" w:firstLineChars="200"/>
        <w:rPr>
          <w:rFonts w:hint="eastAsia" w:ascii="Times New Roman" w:hAnsi="Times New Roman" w:eastAsia="仿宋_GB2312" w:cs="仿宋_GB2312"/>
        </w:rPr>
      </w:pPr>
      <w:r>
        <w:rPr>
          <w:rFonts w:hint="eastAsia" w:ascii="Times New Roman" w:hAnsi="Times New Roman" w:eastAsia="仿宋_GB2312" w:cs="仿宋_GB2312"/>
        </w:rPr>
        <w:t>2020年，芙蓉区认真贯彻落实中央八项规定精神和厉行节约要求，进一步从严控制“三公”经费开支，全年“三公”经费支出183万元，同比下降51.20%，为年度预算的31.86%。其中：公务接待费支出13万元，同比下降27.78%，为年度预算的12.04%；因公出国（境）费支出0万元，为年度预算的0.00%；公务用车购置及运行费支出170万元，同比下降49.40%，为年度预算的42.77%。</w:t>
      </w:r>
    </w:p>
    <w:p>
      <w:pPr>
        <w:ind w:firstLine="640" w:firstLineChars="200"/>
        <w:jc w:val="both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E6560"/>
    <w:rsid w:val="131004FA"/>
    <w:rsid w:val="15CB6C02"/>
    <w:rsid w:val="18710CC6"/>
    <w:rsid w:val="1B6F1594"/>
    <w:rsid w:val="1CC13628"/>
    <w:rsid w:val="1E4A3A1D"/>
    <w:rsid w:val="33406C48"/>
    <w:rsid w:val="3D1F2482"/>
    <w:rsid w:val="3E283B5B"/>
    <w:rsid w:val="53025B5C"/>
    <w:rsid w:val="5F2B4FD3"/>
    <w:rsid w:val="7316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黑体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unhideWhenUsed/>
    <w:qFormat/>
    <w:uiPriority w:val="0"/>
    <w:pPr>
      <w:snapToGrid w:val="0"/>
    </w:pPr>
    <w:rPr>
      <w:sz w:val="18"/>
      <w:szCs w:val="18"/>
    </w:rPr>
  </w:style>
  <w:style w:type="paragraph" w:styleId="3">
    <w:name w:val="Body Text"/>
    <w:basedOn w:val="1"/>
    <w:qFormat/>
    <w:uiPriority w:val="1"/>
    <w:pPr>
      <w:spacing w:before="190"/>
      <w:ind w:left="308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</cp:lastModifiedBy>
  <dcterms:modified xsi:type="dcterms:W3CDTF">2021-09-18T06:18:58Z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F2FE9941F499423EA705FE5DCB9DBB8E</vt:lpwstr>
  </property>
</Properties>
</file>