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2022年</w:t>
      </w:r>
      <w:r>
        <w:rPr>
          <w:rFonts w:hint="eastAsia"/>
          <w:lang w:eastAsia="zh-CN"/>
        </w:rPr>
        <w:t>转移性收入</w:t>
      </w:r>
      <w:r>
        <w:rPr>
          <w:rFonts w:hint="eastAsia"/>
          <w:lang w:val="en-US" w:eastAsia="zh-CN"/>
        </w:rPr>
        <w:t>及安排</w:t>
      </w:r>
      <w:r>
        <w:rPr>
          <w:rFonts w:hint="eastAsia"/>
          <w:lang w:eastAsia="zh-CN"/>
        </w:rPr>
        <w:t>情况说明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2022年，预计芙蓉区转移性收入214636万元。其中，上级补助收入126811万元（返还性收入90848万元，一般性转移支付收入35963万元）专项转移支付收入87825万元，具体项目明细详见预算公开表。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2022年，因芙蓉区街道视同一级预算单位，芙蓉区无对下转移性支出安排。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ZjA5Mzc1NmI0MTc3OGYzMDIyYTdjODQ3ZDI5MzUifQ=="/>
  </w:docVars>
  <w:rsids>
    <w:rsidRoot w:val="2BE07602"/>
    <w:rsid w:val="082F53BD"/>
    <w:rsid w:val="18710CC6"/>
    <w:rsid w:val="226F59BF"/>
    <w:rsid w:val="2BE07602"/>
    <w:rsid w:val="3D1F2482"/>
    <w:rsid w:val="49DB74D2"/>
    <w:rsid w:val="53025B5C"/>
    <w:rsid w:val="5F2B4FD3"/>
    <w:rsid w:val="63FC6C9D"/>
    <w:rsid w:val="7E1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155</Characters>
  <Lines>0</Lines>
  <Paragraphs>0</Paragraphs>
  <TotalTime>1</TotalTime>
  <ScaleCrop>false</ScaleCrop>
  <LinksUpToDate>false</LinksUpToDate>
  <CharactersWithSpaces>156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2021-06-17T05:09:00Z</dcterms:created>
  <dc:creator></dc:creator>
  <cp:lastModifiedBy></cp:lastModifiedBy>
  <dcterms:modified xsi:type="dcterms:W3CDTF">2023-09-25T08:13:46Z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29264314BC4E487A85026228548AF089</vt:lpwstr>
  </property>
</Properties>
</file>