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leftChars="0" w:firstLine="0" w:firstLineChars="0"/>
        <w:jc w:val="center"/>
        <w:rPr>
          <w:rFonts w:hint="eastAsia" w:ascii="仿宋_GB2312" w:hAnsi="仿宋_GB2312" w:eastAsia="仿宋_GB2312" w:cs="仿宋_GB2312"/>
          <w:b/>
          <w:bCs w:val="0"/>
          <w:color w:val="auto"/>
          <w:sz w:val="44"/>
          <w:szCs w:val="44"/>
        </w:rPr>
      </w:pPr>
    </w:p>
    <w:p>
      <w:pPr>
        <w:pStyle w:val="2"/>
        <w:keepNext w:val="0"/>
        <w:keepLines w:val="0"/>
        <w:widowControl/>
        <w:suppressLineNumbers w:val="0"/>
        <w:spacing w:before="0" w:beforeAutospacing="0" w:after="0" w:afterAutospacing="0"/>
        <w:ind w:left="0" w:leftChars="0" w:firstLine="0" w:firstLineChars="0"/>
        <w:jc w:val="center"/>
        <w:rPr>
          <w:rFonts w:hint="eastAsia" w:ascii="仿宋_GB2312" w:hAnsi="仿宋_GB2312" w:eastAsia="仿宋_GB2312" w:cs="仿宋_GB2312"/>
          <w:b/>
          <w:bCs w:val="0"/>
          <w:color w:val="auto"/>
          <w:sz w:val="36"/>
          <w:szCs w:val="36"/>
        </w:rPr>
      </w:pPr>
      <w:r>
        <w:rPr>
          <w:rFonts w:hint="eastAsia" w:ascii="仿宋_GB2312" w:hAnsi="仿宋_GB2312" w:eastAsia="仿宋_GB2312" w:cs="仿宋_GB2312"/>
          <w:b/>
          <w:bCs w:val="0"/>
          <w:color w:val="auto"/>
          <w:sz w:val="44"/>
          <w:szCs w:val="44"/>
          <w:lang w:eastAsia="zh-CN"/>
        </w:rPr>
        <w:t>隆平水稻博物馆</w:t>
      </w:r>
      <w:r>
        <w:rPr>
          <w:rFonts w:hint="eastAsia" w:ascii="仿宋_GB2312" w:hAnsi="仿宋_GB2312" w:eastAsia="仿宋_GB2312" w:cs="仿宋_GB2312"/>
          <w:b/>
          <w:bCs w:val="0"/>
          <w:color w:val="auto"/>
          <w:sz w:val="44"/>
          <w:szCs w:val="44"/>
          <w:lang w:val="en-US" w:eastAsia="zh-CN"/>
        </w:rPr>
        <w:t>2021年</w:t>
      </w:r>
      <w:r>
        <w:rPr>
          <w:rFonts w:hint="eastAsia" w:ascii="仿宋_GB2312" w:hAnsi="仿宋_GB2312" w:eastAsia="仿宋_GB2312" w:cs="仿宋_GB2312"/>
          <w:b/>
          <w:bCs w:val="0"/>
          <w:color w:val="auto"/>
          <w:sz w:val="44"/>
          <w:szCs w:val="44"/>
        </w:rPr>
        <w:t>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firstLine="0" w:firstLineChars="0"/>
        <w:jc w:val="both"/>
        <w:rPr>
          <w:rFonts w:hint="eastAsia" w:ascii="仿宋_GB2312" w:hAnsi="仿宋_GB2312" w:eastAsia="仿宋_GB2312" w:cs="仿宋_GB2312"/>
          <w:b w:val="0"/>
          <w:bCs/>
          <w:color w:val="auto"/>
          <w:sz w:val="30"/>
          <w:szCs w:val="30"/>
        </w:rPr>
      </w:pPr>
      <w:bookmarkStart w:id="0" w:name="_GoBack"/>
      <w:r>
        <w:rPr>
          <w:rFonts w:hint="eastAsia" w:ascii="仿宋_GB2312" w:hAnsi="仿宋_GB2312" w:eastAsia="仿宋_GB2312" w:cs="仿宋_GB2312"/>
          <w:b w:val="0"/>
          <w:bCs/>
          <w:color w:val="auto"/>
          <w:sz w:val="30"/>
          <w:szCs w:val="30"/>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本年度报告根据《中华人民共和国政府信息公开条例》文件要求，严格按照《中华人民共和国政府信息公开工作报告格式》（国办公开函〔2021〕30号）进行编制。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隆平水稻博物馆按照2021年长沙市政府区县网站绩效评估指标责任分解表，落实政府信息公开工作，对芙蓉区人民政府网站各部门信息公开目录和涉公民个人隐私信息进行自查，确保各部门信息公开目录、内容无问题、无一条涉公民个人隐私的信息，在政府信息公开工作方面取得了较好的成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2021年，隆平水稻博物馆在芙蓉区人民政府网站上主动公开政府信息共64条，其中工作动态50条，通知公告4条，政策文件3条，人事信息1条，部门预决算3条，年度规划计划3条。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p>
    <w:p>
      <w:pPr>
        <w:pStyle w:val="2"/>
        <w:keepNext w:val="0"/>
        <w:keepLines w:val="0"/>
        <w:widowControl/>
        <w:suppressLineNumbers w:val="0"/>
        <w:spacing w:before="0" w:beforeAutospacing="0" w:after="0" w:afterAutospacing="0"/>
        <w:ind w:left="0" w:leftChars="0" w:firstLine="0" w:firstLineChars="0"/>
        <w:jc w:val="both"/>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color w:val="auto"/>
                <w:sz w:val="21"/>
                <w:szCs w:val="21"/>
              </w:rPr>
            </w:pPr>
            <w:r>
              <w:rPr>
                <w:rFonts w:hint="eastAsia" w:ascii="宋体" w:hAnsi="宋体" w:eastAsia="宋体" w:cs="宋体"/>
                <w:color w:val="auto"/>
                <w:kern w:val="0"/>
                <w:sz w:val="21"/>
                <w:szCs w:val="21"/>
                <w:lang w:val="en-US" w:eastAsia="zh-CN" w:bidi="ar"/>
              </w:rPr>
              <w:t>本年制发件数</w:t>
            </w:r>
          </w:p>
        </w:tc>
        <w:tc>
          <w:tcPr>
            <w:tcW w:w="2435" w:type="dxa"/>
            <w:tcBorders>
              <w:top w:val="single" w:color="auto" w:sz="8" w:space="0"/>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color w:val="auto"/>
                <w:sz w:val="21"/>
                <w:szCs w:val="21"/>
              </w:rPr>
            </w:pPr>
            <w:r>
              <w:rPr>
                <w:rFonts w:hint="eastAsia" w:ascii="宋体" w:hAnsi="宋体" w:eastAsia="宋体" w:cs="宋体"/>
                <w:color w:val="auto"/>
                <w:kern w:val="0"/>
                <w:sz w:val="21"/>
                <w:szCs w:val="21"/>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color w:val="auto"/>
                <w:sz w:val="21"/>
                <w:szCs w:val="21"/>
              </w:rPr>
            </w:pPr>
            <w:r>
              <w:rPr>
                <w:rFonts w:hint="eastAsia" w:ascii="宋体" w:hAnsi="宋体" w:eastAsia="宋体" w:cs="宋体"/>
                <w:color w:val="auto"/>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eastAsia" w:eastAsia="仿宋"/>
                <w:color w:val="auto"/>
                <w:sz w:val="21"/>
                <w:szCs w:val="21"/>
                <w:lang w:val="en-US" w:eastAsia="zh-CN"/>
              </w:rPr>
            </w:pPr>
            <w:r>
              <w:rPr>
                <w:rFonts w:hint="eastAsia"/>
                <w:color w:val="auto"/>
                <w:sz w:val="21"/>
                <w:szCs w:val="21"/>
                <w:lang w:val="en-US" w:eastAsia="zh-CN"/>
              </w:rPr>
              <w:t>0</w:t>
            </w:r>
          </w:p>
        </w:tc>
        <w:tc>
          <w:tcPr>
            <w:tcW w:w="2435"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eastAsia" w:eastAsia="仿宋"/>
                <w:color w:val="auto"/>
                <w:sz w:val="21"/>
                <w:szCs w:val="21"/>
                <w:lang w:val="en-US" w:eastAsia="zh-CN"/>
              </w:rPr>
            </w:pPr>
            <w:r>
              <w:rPr>
                <w:rFonts w:hint="eastAsia"/>
                <w:color w:val="auto"/>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eastAsia" w:eastAsia="仿宋"/>
                <w:color w:val="auto"/>
                <w:sz w:val="21"/>
                <w:szCs w:val="21"/>
                <w:lang w:val="en-US" w:eastAsia="zh-CN"/>
              </w:rPr>
            </w:pPr>
            <w:r>
              <w:rPr>
                <w:rFonts w:hint="eastAsia"/>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eastAsia" w:eastAsia="仿宋"/>
                <w:color w:val="auto"/>
                <w:sz w:val="21"/>
                <w:szCs w:val="21"/>
                <w:lang w:val="en-US" w:eastAsia="zh-CN"/>
              </w:rPr>
            </w:pPr>
            <w:r>
              <w:rPr>
                <w:rFonts w:hint="eastAsia"/>
                <w:color w:val="auto"/>
                <w:sz w:val="21"/>
                <w:szCs w:val="21"/>
                <w:lang w:val="en-US" w:eastAsia="zh-CN"/>
              </w:rPr>
              <w:t>0</w:t>
            </w:r>
          </w:p>
        </w:tc>
        <w:tc>
          <w:tcPr>
            <w:tcW w:w="2435" w:type="dxa"/>
            <w:tcBorders>
              <w:top w:val="nil"/>
              <w:left w:val="nil"/>
              <w:bottom w:val="single" w:color="auto" w:sz="8" w:space="0"/>
              <w:right w:val="single" w:color="auto" w:sz="4"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eastAsia" w:eastAsia="仿宋"/>
                <w:color w:val="auto"/>
                <w:sz w:val="21"/>
                <w:szCs w:val="21"/>
                <w:lang w:val="en-US" w:eastAsia="zh-CN"/>
              </w:rPr>
            </w:pPr>
            <w:r>
              <w:rPr>
                <w:rFonts w:hint="eastAsia"/>
                <w:color w:val="auto"/>
                <w:sz w:val="21"/>
                <w:szCs w:val="21"/>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right="0"/>
              <w:jc w:val="center"/>
              <w:rPr>
                <w:rFonts w:hint="eastAsia" w:eastAsia="仿宋"/>
                <w:color w:val="auto"/>
                <w:sz w:val="21"/>
                <w:szCs w:val="21"/>
                <w:lang w:val="en-US" w:eastAsia="zh-CN"/>
              </w:rPr>
            </w:pPr>
            <w:r>
              <w:rPr>
                <w:rFonts w:hint="eastAsia"/>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single" w:color="auto" w:sz="8" w:space="0"/>
              <w:left w:val="single" w:color="auto" w:sz="8" w:space="0"/>
              <w:bottom w:val="single" w:color="auto" w:sz="8" w:space="0"/>
              <w:right w:val="single" w:color="auto" w:sz="4"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行政许可</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eastAsia" w:eastAsia="仿宋"/>
                <w:color w:val="auto"/>
                <w:sz w:val="21"/>
                <w:szCs w:val="21"/>
                <w:lang w:val="en-US" w:eastAsia="zh-CN"/>
              </w:rPr>
            </w:pPr>
            <w:r>
              <w:rPr>
                <w:rFonts w:hint="eastAsia"/>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rightChars="0" w:firstLine="0" w:firstLineChars="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rightChars="0" w:firstLine="0" w:firstLineChars="0"/>
              <w:jc w:val="center"/>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eastAsia" w:eastAsia="仿宋"/>
                <w:color w:val="auto"/>
                <w:sz w:val="21"/>
                <w:szCs w:val="21"/>
                <w:lang w:val="en-US" w:eastAsia="zh-CN"/>
              </w:rPr>
            </w:pPr>
            <w:r>
              <w:rPr>
                <w:rFonts w:hint="eastAsia"/>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rFonts w:hint="eastAsia" w:eastAsia="仿宋"/>
                <w:color w:val="auto"/>
                <w:sz w:val="21"/>
                <w:szCs w:val="21"/>
                <w:lang w:val="en-US" w:eastAsia="zh-CN"/>
              </w:rPr>
            </w:pPr>
            <w:r>
              <w:rPr>
                <w:rFonts w:hint="eastAsia"/>
                <w:color w:val="auto"/>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spacing w:before="100" w:beforeAutospacing="1" w:after="0" w:afterLines="0" w:afterAutospacing="0"/>
              <w:ind w:left="0" w:leftChars="0" w:right="0" w:firstLine="0" w:firstLineChars="0"/>
              <w:jc w:val="center"/>
              <w:rPr>
                <w:color w:val="auto"/>
                <w:sz w:val="21"/>
                <w:szCs w:val="21"/>
              </w:rPr>
            </w:pPr>
            <w:r>
              <w:rPr>
                <w:rFonts w:hint="eastAsia" w:ascii="宋体" w:hAnsi="宋体" w:eastAsia="宋体" w:cs="宋体"/>
                <w:color w:val="auto"/>
                <w:kern w:val="0"/>
                <w:sz w:val="21"/>
                <w:szCs w:val="21"/>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ind w:left="0" w:leftChars="0" w:firstLine="0" w:firstLineChars="0"/>
              <w:jc w:val="center"/>
              <w:rPr>
                <w:rFonts w:hint="eastAsia" w:ascii="宋体" w:eastAsia="仿宋"/>
                <w:color w:val="auto"/>
                <w:sz w:val="21"/>
                <w:szCs w:val="21"/>
                <w:lang w:val="en-US" w:eastAsia="zh-CN"/>
              </w:rPr>
            </w:pPr>
            <w:r>
              <w:rPr>
                <w:rFonts w:hint="eastAsia" w:ascii="宋体"/>
                <w:color w:val="auto"/>
                <w:sz w:val="21"/>
                <w:szCs w:val="21"/>
                <w:lang w:val="en-US" w:eastAsia="zh-CN"/>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leftChars="0" w:firstLine="0" w:firstLineChars="0"/>
        <w:jc w:val="both"/>
        <w:textAlignment w:val="auto"/>
        <w:rPr>
          <w:rFonts w:hint="eastAsia" w:ascii="宋体" w:hAnsi="宋体" w:eastAsia="宋体" w:cs="宋体"/>
          <w:b w:val="0"/>
          <w:bCs/>
          <w:color w:val="auto"/>
        </w:rPr>
      </w:pPr>
    </w:p>
    <w:p>
      <w:pPr>
        <w:pStyle w:val="2"/>
        <w:keepNext w:val="0"/>
        <w:keepLines w:val="0"/>
        <w:widowControl/>
        <w:suppressLineNumbers w:val="0"/>
        <w:spacing w:before="0" w:beforeAutospacing="0" w:after="0" w:afterAutospacing="0"/>
        <w:ind w:left="0" w:leftChars="0" w:firstLine="0" w:firstLineChars="0"/>
        <w:jc w:val="both"/>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三、收到和处理政府信息公开申请情况</w:t>
      </w:r>
    </w:p>
    <w:tbl>
      <w:tblPr>
        <w:tblStyle w:val="3"/>
        <w:tblW w:w="974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57" w:type="dxa"/>
          <w:bottom w:w="0" w:type="dxa"/>
          <w:right w:w="57" w:type="dxa"/>
        </w:tblCellMar>
      </w:tblPr>
      <w:tblGrid>
        <w:gridCol w:w="754"/>
        <w:gridCol w:w="921"/>
        <w:gridCol w:w="3271"/>
        <w:gridCol w:w="685"/>
        <w:gridCol w:w="685"/>
        <w:gridCol w:w="685"/>
        <w:gridCol w:w="685"/>
        <w:gridCol w:w="685"/>
        <w:gridCol w:w="685"/>
        <w:gridCol w:w="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946" w:type="dxa"/>
            <w:gridSpan w:val="3"/>
            <w:vMerge w:val="restart"/>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（本列数据的勾稽关系为：第一项加第二项之和，等于第三项加第四项之和）</w:t>
            </w:r>
          </w:p>
        </w:tc>
        <w:tc>
          <w:tcPr>
            <w:tcW w:w="4795" w:type="dxa"/>
            <w:gridSpan w:val="7"/>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94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自</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然</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人</w:t>
            </w:r>
          </w:p>
        </w:tc>
        <w:tc>
          <w:tcPr>
            <w:tcW w:w="3425" w:type="dxa"/>
            <w:gridSpan w:val="5"/>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法人或其他组织</w:t>
            </w:r>
          </w:p>
        </w:tc>
        <w:tc>
          <w:tcPr>
            <w:tcW w:w="685"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总</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4946" w:type="dxa"/>
            <w:gridSpan w:val="3"/>
            <w:vMerge w:val="continue"/>
            <w:tcBorders>
              <w:top w:val="single" w:color="000000" w:sz="8" w:space="0"/>
              <w:left w:val="single" w:color="000000" w:sz="8" w:space="0"/>
              <w:bottom w:val="single" w:color="000000" w:sz="8" w:space="0"/>
              <w:right w:val="single" w:color="000000" w:sz="8" w:space="0"/>
            </w:tcBorders>
            <w:shd w:val="clear" w:color="auto"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商业</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企业</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科研</w:t>
            </w:r>
          </w:p>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机构</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社会公益组织</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法律服务机构</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其他</w:t>
            </w:r>
          </w:p>
        </w:tc>
        <w:tc>
          <w:tcPr>
            <w:tcW w:w="685"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4946"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一、本年新收政府信息公开申请数量</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left"/>
              <w:rPr>
                <w:rFonts w:hint="default"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4946"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二、上年结转政府信息公开申请数量</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36" w:hRule="atLeast"/>
          <w:jc w:val="center"/>
        </w:trPr>
        <w:tc>
          <w:tcPr>
            <w:tcW w:w="754"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三、本年度办理结果</w:t>
            </w:r>
          </w:p>
        </w:tc>
        <w:tc>
          <w:tcPr>
            <w:tcW w:w="419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（一）予以公开</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419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（二）部分公开（区分处理的，只计这一情形，不计其他情形）</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52"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（三）不予公开</w:t>
            </w: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1.属于国家秘密</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02"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2.其他法律行政法规禁止公开</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35"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3.危及“三安全一稳定”</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4.保护第三方合法权益</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5.属于三类内部事务信息</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19"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6.属于四类过程性信息</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7.属于行政执法案卷</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8.属于行政查询事项</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36"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（四）无法提供</w:t>
            </w: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1.本机关不掌握相关政府信息</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36"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2.没有现成信息需要另行制作</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36"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3.补正后申请内容仍不明确</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52"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（五）不予处理</w:t>
            </w: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1.信访举报投诉类申请</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02"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2.重复申请</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both"/>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3.要求提供公开出版物</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38"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4.无正当理由大量反复申请</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5.要求行政机关确认或重新出具已获取信息</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（六）其他处理</w:t>
            </w: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1.申请人无正当理由逾期不补正、行政机关不再处理其政府信息公开申请</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855"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2.申请人逾期未按收费通知要求缴纳费用、行政机关不再处理其政府信息公开申请</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921"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rPr>
                <w:rFonts w:hint="eastAsia" w:ascii="仿宋_GB2312" w:hAnsi="仿宋_GB2312" w:eastAsia="仿宋_GB2312" w:cs="仿宋_GB2312"/>
                <w:color w:val="000000"/>
                <w:sz w:val="21"/>
                <w:lang w:val="en-US" w:eastAsia="zh-CN"/>
              </w:rPr>
            </w:pPr>
          </w:p>
        </w:tc>
        <w:tc>
          <w:tcPr>
            <w:tcW w:w="3271"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3.其他</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754"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p>
        </w:tc>
        <w:tc>
          <w:tcPr>
            <w:tcW w:w="4192"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（七）总计</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trHeight w:val="397" w:hRule="atLeast"/>
          <w:jc w:val="center"/>
        </w:trPr>
        <w:tc>
          <w:tcPr>
            <w:tcW w:w="4946" w:type="dxa"/>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0" w:firstLineChars="0"/>
              <w:jc w:val="left"/>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四、结转下年度继续办理</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c>
          <w:tcPr>
            <w:tcW w:w="685"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pageBreakBefore w:val="0"/>
              <w:widowControl w:val="0"/>
              <w:kinsoku/>
              <w:wordWrap/>
              <w:overflowPunct/>
              <w:topLinePunct w:val="0"/>
              <w:autoSpaceDE/>
              <w:autoSpaceDN/>
              <w:bidi w:val="0"/>
              <w:spacing w:line="240" w:lineRule="auto"/>
              <w:ind w:firstLine="420" w:firstLineChars="200"/>
              <w:jc w:val="center"/>
              <w:rPr>
                <w:rFonts w:hint="eastAsia" w:ascii="仿宋_GB2312" w:hAnsi="仿宋_GB2312" w:eastAsia="仿宋_GB2312" w:cs="仿宋_GB2312"/>
                <w:color w:val="000000"/>
                <w:sz w:val="21"/>
                <w:lang w:val="en-US" w:eastAsia="zh-CN"/>
              </w:rPr>
            </w:pPr>
            <w:r>
              <w:rPr>
                <w:rFonts w:hint="eastAsia" w:ascii="仿宋_GB2312" w:hAnsi="仿宋_GB2312" w:eastAsia="仿宋_GB2312" w:cs="仿宋_GB2312"/>
                <w:color w:val="000000"/>
                <w:sz w:val="21"/>
                <w:lang w:val="en-US" w:eastAsia="zh-CN"/>
              </w:rPr>
              <w:t>0</w:t>
            </w:r>
          </w:p>
        </w:tc>
      </w:tr>
    </w:tbl>
    <w:p>
      <w:pPr>
        <w:pStyle w:val="2"/>
        <w:keepNext w:val="0"/>
        <w:keepLines w:val="0"/>
        <w:widowControl/>
        <w:suppressLineNumbers w:val="0"/>
        <w:spacing w:before="0" w:beforeAutospacing="0" w:after="0" w:afterAutospacing="0"/>
        <w:ind w:left="0" w:leftChars="0" w:firstLine="0" w:firstLineChars="0"/>
        <w:jc w:val="both"/>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四、政府信息公开行政复议、行政诉讼情况</w:t>
      </w: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行政复议</w:t>
            </w:r>
          </w:p>
        </w:tc>
        <w:tc>
          <w:tcPr>
            <w:tcW w:w="642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结果维持</w:t>
            </w:r>
          </w:p>
        </w:tc>
        <w:tc>
          <w:tcPr>
            <w:tcW w:w="642"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纠正</w:t>
            </w:r>
          </w:p>
        </w:tc>
        <w:tc>
          <w:tcPr>
            <w:tcW w:w="6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其他</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结果</w:t>
            </w:r>
          </w:p>
        </w:tc>
        <w:tc>
          <w:tcPr>
            <w:tcW w:w="6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尚未</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审结</w:t>
            </w:r>
          </w:p>
        </w:tc>
        <w:tc>
          <w:tcPr>
            <w:tcW w:w="64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总计</w:t>
            </w:r>
          </w:p>
        </w:tc>
        <w:tc>
          <w:tcPr>
            <w:tcW w:w="321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未经复议直接起诉</w:t>
            </w:r>
          </w:p>
        </w:tc>
        <w:tc>
          <w:tcPr>
            <w:tcW w:w="32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p>
        </w:tc>
        <w:tc>
          <w:tcPr>
            <w:tcW w:w="64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p>
        </w:tc>
        <w:tc>
          <w:tcPr>
            <w:tcW w:w="642"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维持</w:t>
            </w: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纠正</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其他</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结果</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尚未</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审结</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总计</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维持</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结果</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纠正</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其他</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结果</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尚未</w:t>
            </w:r>
            <w:r>
              <w:rPr>
                <w:rFonts w:hint="eastAsia" w:ascii="仿宋_GB2312" w:hAnsi="仿宋_GB2312" w:eastAsia="仿宋_GB2312" w:cs="仿宋_GB2312"/>
                <w:color w:val="auto"/>
                <w:kern w:val="0"/>
                <w:sz w:val="21"/>
                <w:szCs w:val="21"/>
                <w:lang w:val="en-US" w:eastAsia="zh-CN" w:bidi="ar"/>
              </w:rPr>
              <w:br w:type="textWrapping"/>
            </w:r>
            <w:r>
              <w:rPr>
                <w:rFonts w:hint="eastAsia" w:ascii="仿宋_GB2312" w:hAnsi="仿宋_GB2312" w:eastAsia="仿宋_GB2312" w:cs="仿宋_GB2312"/>
                <w:color w:val="auto"/>
                <w:kern w:val="0"/>
                <w:sz w:val="21"/>
                <w:szCs w:val="21"/>
                <w:lang w:val="en-US" w:eastAsia="zh-CN" w:bidi="ar"/>
              </w:rPr>
              <w:t>审结</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 0</w:t>
            </w: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 0</w:t>
            </w: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 0</w:t>
            </w: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 0</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 0</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eastAsia"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0 </w:t>
            </w:r>
          </w:p>
        </w:tc>
        <w:tc>
          <w:tcPr>
            <w:tcW w:w="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00" w:lineRule="exact"/>
              <w:ind w:left="0" w:right="0" w:firstLine="0" w:firstLineChars="0"/>
              <w:jc w:val="center"/>
              <w:textAlignment w:val="center"/>
              <w:rPr>
                <w:rFonts w:hint="default" w:ascii="仿宋_GB2312" w:hAnsi="仿宋_GB2312" w:eastAsia="仿宋_GB2312" w:cs="仿宋_GB2312"/>
                <w:color w:val="auto"/>
                <w:kern w:val="0"/>
                <w:sz w:val="21"/>
                <w:szCs w:val="21"/>
                <w:lang w:val="en-US" w:eastAsia="zh-CN" w:bidi="ar"/>
              </w:rPr>
            </w:pPr>
            <w:r>
              <w:rPr>
                <w:rFonts w:hint="eastAsia" w:ascii="仿宋_GB2312" w:hAnsi="仿宋_GB2312" w:eastAsia="仿宋_GB2312" w:cs="仿宋_GB2312"/>
                <w:color w:val="auto"/>
                <w:kern w:val="0"/>
                <w:sz w:val="21"/>
                <w:szCs w:val="21"/>
                <w:lang w:val="en-US" w:eastAsia="zh-CN" w:bidi="ar"/>
              </w:rPr>
              <w:t>0</w:t>
            </w:r>
          </w:p>
        </w:tc>
      </w:tr>
    </w:tbl>
    <w:p>
      <w:pPr>
        <w:keepNext w:val="0"/>
        <w:keepLines w:val="0"/>
        <w:widowControl/>
        <w:suppressLineNumbers w:val="0"/>
        <w:jc w:val="left"/>
        <w:rPr>
          <w:color w:val="auto"/>
        </w:rPr>
      </w:pPr>
    </w:p>
    <w:p>
      <w:pPr>
        <w:pStyle w:val="2"/>
        <w:keepNext w:val="0"/>
        <w:keepLines w:val="0"/>
        <w:widowControl/>
        <w:suppressLineNumbers w:val="0"/>
        <w:spacing w:before="0" w:beforeAutospacing="0" w:after="0" w:afterAutospacing="0"/>
        <w:ind w:left="0" w:leftChars="0" w:firstLine="0" w:firstLineChars="0"/>
        <w:jc w:val="both"/>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隆平水稻博物馆进行政务公开工作以来，在服务群众、加强沟通等方面取得了明显的成绩。但是由于博物馆属于事业单位，且成立时间不长，因此在信息公开中还存在以下问题：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一是政务公开的深度不够，较少对文博行业相关政策进行解读;二是信息公开工作的培训力度需要加强，信息公开工作人员的业务能力需要进一步提升。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针对以上问题，结合博物馆工作实际，提出以下整改措施: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center"/>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一是加深政务公开的深度，坚持以群众需求为导向，根据单位自身的性质和特点，有针对性地强化重点领域的信息公开。二是配强工作力量，提升政府信息公开负责人的专业能力和综合素质，确保政府信息公开的质量。</w:t>
      </w:r>
    </w:p>
    <w:p>
      <w:pPr>
        <w:pStyle w:val="2"/>
        <w:keepNext w:val="0"/>
        <w:keepLines w:val="0"/>
        <w:widowControl/>
        <w:suppressLineNumbers w:val="0"/>
        <w:spacing w:before="0" w:beforeAutospacing="0" w:after="0" w:afterAutospacing="0"/>
        <w:ind w:left="0" w:leftChars="0" w:firstLine="0" w:firstLineChars="0"/>
        <w:jc w:val="both"/>
        <w:rPr>
          <w:rFonts w:hint="eastAsia" w:ascii="仿宋_GB2312" w:hAnsi="仿宋_GB2312" w:eastAsia="仿宋_GB2312" w:cs="仿宋_GB2312"/>
          <w:b w:val="0"/>
          <w:bCs/>
          <w:color w:val="auto"/>
          <w:sz w:val="30"/>
          <w:szCs w:val="30"/>
        </w:rPr>
      </w:pPr>
      <w:r>
        <w:rPr>
          <w:rFonts w:hint="eastAsia" w:ascii="仿宋_GB2312" w:hAnsi="仿宋_GB2312" w:eastAsia="仿宋_GB2312" w:cs="仿宋_GB2312"/>
          <w:b w:val="0"/>
          <w:bCs/>
          <w:color w:val="auto"/>
          <w:sz w:val="30"/>
          <w:szCs w:val="30"/>
        </w:rPr>
        <w:t>六、其他需要报告的事项</w:t>
      </w:r>
    </w:p>
    <w:p>
      <w:pPr>
        <w:ind w:left="0" w:leftChars="0" w:firstLine="0" w:firstLineChars="0"/>
        <w:rPr>
          <w:rFonts w:hint="eastAsia" w:eastAsia="仿宋"/>
          <w:color w:val="auto"/>
          <w:lang w:eastAsia="zh-CN"/>
        </w:rPr>
      </w:pPr>
      <w:r>
        <w:rPr>
          <w:rFonts w:hint="eastAsia" w:ascii="仿宋_GB2312" w:hAnsi="仿宋_GB2312" w:eastAsia="仿宋_GB2312" w:cs="仿宋_GB2312"/>
          <w:b w:val="0"/>
          <w:bCs/>
          <w:color w:val="auto"/>
          <w:sz w:val="30"/>
          <w:szCs w:val="30"/>
          <w:lang w:eastAsia="zh-CN"/>
        </w:rPr>
        <w:t>无</w:t>
      </w: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center"/>
        <w:textAlignment w:val="auto"/>
        <w:rPr>
          <w:rFonts w:hint="eastAsia" w:ascii="方正小标宋简体" w:hAnsi="方正小标宋简体" w:eastAsia="方正小标宋简体" w:cs="方正小标宋简体"/>
          <w:b w:val="0"/>
          <w:bCs/>
          <w:color w:val="auto"/>
          <w:sz w:val="36"/>
          <w:szCs w:val="36"/>
        </w:rPr>
      </w:pPr>
    </w:p>
    <w:p>
      <w:pPr>
        <w:pStyle w:val="2"/>
        <w:keepNext w:val="0"/>
        <w:keepLines w:val="0"/>
        <w:pageBreakBefore w:val="0"/>
        <w:widowControl/>
        <w:suppressLineNumbers w:val="0"/>
        <w:kinsoku/>
        <w:overflowPunct/>
        <w:topLinePunct w:val="0"/>
        <w:bidi w:val="0"/>
        <w:adjustRightInd/>
        <w:spacing w:before="0" w:beforeAutospacing="0" w:after="0" w:afterAutospacing="0" w:line="240" w:lineRule="auto"/>
        <w:ind w:left="0" w:leftChars="0" w:firstLine="0" w:firstLineChars="0"/>
        <w:jc w:val="both"/>
        <w:textAlignment w:val="auto"/>
        <w:rPr>
          <w:rFonts w:hint="eastAsia" w:ascii="方正小标宋简体" w:hAnsi="方正小标宋简体" w:eastAsia="方正小标宋简体" w:cs="方正小标宋简体"/>
          <w:b w:val="0"/>
          <w:bCs/>
          <w:color w:val="auto"/>
          <w:sz w:val="36"/>
          <w:szCs w:val="36"/>
        </w:rPr>
      </w:pP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64E13"/>
    <w:rsid w:val="081D6FC0"/>
    <w:rsid w:val="102A2E21"/>
    <w:rsid w:val="14F20CEA"/>
    <w:rsid w:val="1CDEAE7D"/>
    <w:rsid w:val="1DEF3D63"/>
    <w:rsid w:val="2E430724"/>
    <w:rsid w:val="2F3108C4"/>
    <w:rsid w:val="335B9F8B"/>
    <w:rsid w:val="38CF7436"/>
    <w:rsid w:val="3F9F3DE6"/>
    <w:rsid w:val="3FDF6882"/>
    <w:rsid w:val="5B471680"/>
    <w:rsid w:val="5D4D07C1"/>
    <w:rsid w:val="5E464E13"/>
    <w:rsid w:val="5F735369"/>
    <w:rsid w:val="6F7D3C86"/>
    <w:rsid w:val="6FCF80E5"/>
    <w:rsid w:val="75BF89DD"/>
    <w:rsid w:val="7B7C4ABB"/>
    <w:rsid w:val="7EFFF723"/>
    <w:rsid w:val="7FD957D6"/>
    <w:rsid w:val="B3A9E14E"/>
    <w:rsid w:val="BB7E58F3"/>
    <w:rsid w:val="BBBF96D4"/>
    <w:rsid w:val="BFDE063E"/>
    <w:rsid w:val="EBFB5D1B"/>
    <w:rsid w:val="ECFB46A6"/>
    <w:rsid w:val="EF6BBE3D"/>
    <w:rsid w:val="F6FE24E4"/>
    <w:rsid w:val="FCB76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883" w:firstLineChars="200"/>
      <w:jc w:val="both"/>
    </w:pPr>
    <w:rPr>
      <w:rFonts w:ascii="Calibri" w:hAnsi="Calibri" w:eastAsia="仿宋"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2021-12-18T07:03:00Z</dcterms:created>
  <dc:creator>Changsha</dc:creator>
  <cp:lastModifiedBy>greatwall</cp:lastModifiedBy>
  <dcterms:modified xsi:type="dcterms:W3CDTF">2022-01-24T11:04:41Z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D6E260BFDB144BF2BBEB82F2D734B8AC</vt:lpwstr>
  </property>
</Properties>
</file>