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EastAsia"/>
          <w:b/>
          <w:sz w:val="44"/>
          <w:szCs w:val="44"/>
        </w:rPr>
      </w:pPr>
      <w:bookmarkStart w:id="0" w:name="_GoBack"/>
      <w:bookmarkEnd w:id="0"/>
      <w:r>
        <w:rPr>
          <w:rFonts w:eastAsiaTheme="minorEastAsia"/>
          <w:b/>
          <w:sz w:val="44"/>
          <w:szCs w:val="44"/>
        </w:rPr>
        <w:t>2020年度长沙市芙蓉区城市管理局</w:t>
      </w:r>
    </w:p>
    <w:p>
      <w:pPr>
        <w:jc w:val="center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44"/>
          <w:szCs w:val="44"/>
        </w:rPr>
        <w:t>部门整体支出绩效评价报告</w:t>
      </w:r>
    </w:p>
    <w:p>
      <w:pPr>
        <w:spacing w:line="600" w:lineRule="exact"/>
        <w:ind w:firstLine="960" w:firstLineChars="300"/>
        <w:jc w:val="left"/>
        <w:rPr>
          <w:rFonts w:eastAsia="黑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一、部门基本概况</w:t>
      </w:r>
    </w:p>
    <w:p>
      <w:pPr>
        <w:spacing w:line="600" w:lineRule="exact"/>
        <w:ind w:firstLine="643" w:firstLineChars="200"/>
        <w:jc w:val="left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（一）职能职责</w:t>
      </w:r>
    </w:p>
    <w:p>
      <w:pPr>
        <w:spacing w:line="60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1</w:t>
      </w:r>
      <w:r>
        <w:rPr>
          <w:rFonts w:hAnsi="仿宋" w:eastAsia="仿宋"/>
          <w:sz w:val="32"/>
          <w:szCs w:val="32"/>
        </w:rPr>
        <w:t>）贯彻执行国家、省、市、区有关城市管理工作的方针、政策和法律、法规、文件及其他规章制度</w:t>
      </w:r>
      <w:r>
        <w:rPr>
          <w:rFonts w:eastAsia="仿宋"/>
          <w:sz w:val="32"/>
          <w:szCs w:val="32"/>
        </w:rPr>
        <w:t>;</w:t>
      </w:r>
    </w:p>
    <w:p>
      <w:pPr>
        <w:spacing w:line="60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2</w:t>
      </w:r>
      <w:r>
        <w:rPr>
          <w:rFonts w:hAnsi="仿宋" w:eastAsia="仿宋"/>
          <w:sz w:val="32"/>
          <w:szCs w:val="32"/>
        </w:rPr>
        <w:t>）制定区级城市管理工作规划并组织实施</w:t>
      </w:r>
      <w:r>
        <w:rPr>
          <w:rFonts w:eastAsia="仿宋"/>
          <w:sz w:val="32"/>
          <w:szCs w:val="32"/>
        </w:rPr>
        <w:t>;</w:t>
      </w:r>
    </w:p>
    <w:p>
      <w:pPr>
        <w:spacing w:line="60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3</w:t>
      </w:r>
      <w:r>
        <w:rPr>
          <w:rFonts w:hAnsi="仿宋" w:eastAsia="仿宋"/>
          <w:sz w:val="32"/>
          <w:szCs w:val="32"/>
        </w:rPr>
        <w:t>）负责组织协调全区城市管理综合考核，通报考核结果</w:t>
      </w:r>
      <w:r>
        <w:rPr>
          <w:rFonts w:eastAsia="仿宋"/>
          <w:sz w:val="32"/>
          <w:szCs w:val="32"/>
        </w:rPr>
        <w:t>;</w:t>
      </w:r>
    </w:p>
    <w:p>
      <w:pPr>
        <w:spacing w:line="60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4</w:t>
      </w:r>
      <w:r>
        <w:rPr>
          <w:rFonts w:hAnsi="仿宋" w:eastAsia="仿宋"/>
          <w:sz w:val="32"/>
          <w:szCs w:val="32"/>
        </w:rPr>
        <w:t>）负责区城市管理数字化、网格化工作的组织与实施</w:t>
      </w:r>
      <w:r>
        <w:rPr>
          <w:rFonts w:eastAsia="仿宋"/>
          <w:sz w:val="32"/>
          <w:szCs w:val="32"/>
        </w:rPr>
        <w:t>;</w:t>
      </w:r>
    </w:p>
    <w:p>
      <w:pPr>
        <w:spacing w:line="60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5</w:t>
      </w:r>
      <w:r>
        <w:rPr>
          <w:rFonts w:hAnsi="仿宋" w:eastAsia="仿宋"/>
          <w:sz w:val="32"/>
          <w:szCs w:val="32"/>
        </w:rPr>
        <w:t>）完成区政府交办的相关设施的维护和提质改造工作</w:t>
      </w:r>
      <w:r>
        <w:rPr>
          <w:rFonts w:eastAsia="仿宋"/>
          <w:sz w:val="32"/>
          <w:szCs w:val="32"/>
        </w:rPr>
        <w:t>;</w:t>
      </w:r>
    </w:p>
    <w:p>
      <w:pPr>
        <w:spacing w:line="60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6</w:t>
      </w:r>
      <w:r>
        <w:rPr>
          <w:rFonts w:hAnsi="仿宋" w:eastAsia="仿宋"/>
          <w:sz w:val="32"/>
          <w:szCs w:val="32"/>
        </w:rPr>
        <w:t>）负责燃气热力管理工作</w:t>
      </w:r>
      <w:r>
        <w:rPr>
          <w:rFonts w:eastAsia="仿宋"/>
          <w:sz w:val="32"/>
          <w:szCs w:val="32"/>
        </w:rPr>
        <w:t>;</w:t>
      </w:r>
    </w:p>
    <w:p>
      <w:pPr>
        <w:spacing w:line="60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7</w:t>
      </w:r>
      <w:r>
        <w:rPr>
          <w:rFonts w:hAnsi="仿宋" w:eastAsia="仿宋"/>
          <w:sz w:val="32"/>
          <w:szCs w:val="32"/>
        </w:rPr>
        <w:t>）负责区城市管理委员会办公室日常工作</w:t>
      </w:r>
      <w:r>
        <w:rPr>
          <w:rFonts w:eastAsia="仿宋"/>
          <w:sz w:val="32"/>
          <w:szCs w:val="32"/>
        </w:rPr>
        <w:t>;</w:t>
      </w:r>
    </w:p>
    <w:p>
      <w:pPr>
        <w:spacing w:line="60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8</w:t>
      </w:r>
      <w:r>
        <w:rPr>
          <w:rFonts w:hAnsi="仿宋" w:eastAsia="仿宋"/>
          <w:sz w:val="32"/>
          <w:szCs w:val="32"/>
        </w:rPr>
        <w:t>）完成区委、区政府及上级各部门交办的其他事项。</w:t>
      </w:r>
    </w:p>
    <w:p>
      <w:pPr>
        <w:spacing w:line="600" w:lineRule="exact"/>
        <w:ind w:firstLine="643" w:firstLineChars="200"/>
        <w:jc w:val="left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（二）机构设置</w:t>
      </w:r>
    </w:p>
    <w:p>
      <w:pPr>
        <w:spacing w:line="60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根据编办核定，芙蓉区城市管理局现设有</w:t>
      </w:r>
      <w:r>
        <w:rPr>
          <w:rFonts w:eastAsia="仿宋"/>
          <w:sz w:val="32"/>
          <w:szCs w:val="32"/>
        </w:rPr>
        <w:t xml:space="preserve"> 4 </w:t>
      </w:r>
      <w:r>
        <w:rPr>
          <w:rFonts w:hAnsi="仿宋" w:eastAsia="仿宋"/>
          <w:sz w:val="32"/>
          <w:szCs w:val="32"/>
        </w:rPr>
        <w:t>个职能科（室）</w:t>
      </w:r>
      <w:r>
        <w:rPr>
          <w:rFonts w:eastAsia="仿宋"/>
          <w:sz w:val="32"/>
          <w:szCs w:val="32"/>
        </w:rPr>
        <w:t xml:space="preserve">1 </w:t>
      </w:r>
      <w:r>
        <w:rPr>
          <w:rFonts w:hAnsi="仿宋" w:eastAsia="仿宋"/>
          <w:sz w:val="32"/>
          <w:szCs w:val="32"/>
        </w:rPr>
        <w:t>个二级机构，分别是：办公室、基础设施管理科、市容监管考核科、综合管理科及芙蓉区数字化城管指挥中心（副科级、二级机构）。芙蓉区城市管理局行政编制</w:t>
      </w:r>
      <w:r>
        <w:rPr>
          <w:rFonts w:eastAsia="仿宋"/>
          <w:sz w:val="32"/>
          <w:szCs w:val="32"/>
        </w:rPr>
        <w:t xml:space="preserve"> 9 </w:t>
      </w:r>
      <w:r>
        <w:rPr>
          <w:rFonts w:hAnsi="仿宋" w:eastAsia="仿宋"/>
          <w:sz w:val="32"/>
          <w:szCs w:val="32"/>
        </w:rPr>
        <w:t>个，数字化指挥中心事业编制</w:t>
      </w:r>
      <w:r>
        <w:rPr>
          <w:rFonts w:eastAsia="仿宋"/>
          <w:sz w:val="32"/>
          <w:szCs w:val="32"/>
        </w:rPr>
        <w:t xml:space="preserve"> 12</w:t>
      </w:r>
      <w:r>
        <w:rPr>
          <w:rFonts w:hAnsi="仿宋" w:eastAsia="仿宋"/>
          <w:sz w:val="32"/>
          <w:szCs w:val="32"/>
        </w:rPr>
        <w:t>个。现有在职在编干部</w:t>
      </w:r>
      <w:r>
        <w:rPr>
          <w:rFonts w:eastAsia="仿宋"/>
          <w:sz w:val="32"/>
          <w:szCs w:val="32"/>
        </w:rPr>
        <w:t xml:space="preserve"> 21 </w:t>
      </w:r>
      <w:r>
        <w:rPr>
          <w:rFonts w:hAnsi="仿宋" w:eastAsia="仿宋"/>
          <w:sz w:val="32"/>
          <w:szCs w:val="32"/>
        </w:rPr>
        <w:t>人，城管协管员</w:t>
      </w:r>
      <w:r>
        <w:rPr>
          <w:rFonts w:eastAsia="仿宋"/>
          <w:sz w:val="32"/>
          <w:szCs w:val="32"/>
        </w:rPr>
        <w:t>11</w:t>
      </w:r>
      <w:r>
        <w:rPr>
          <w:rFonts w:hAnsi="仿宋" w:eastAsia="仿宋"/>
          <w:sz w:val="32"/>
          <w:szCs w:val="32"/>
        </w:rPr>
        <w:t>人，项目建设外聘技术人员</w:t>
      </w:r>
      <w:r>
        <w:rPr>
          <w:rFonts w:eastAsia="仿宋"/>
          <w:sz w:val="32"/>
          <w:szCs w:val="32"/>
        </w:rPr>
        <w:t xml:space="preserve"> 2</w:t>
      </w:r>
      <w:r>
        <w:rPr>
          <w:rFonts w:hAnsi="仿宋" w:eastAsia="仿宋"/>
          <w:sz w:val="32"/>
          <w:szCs w:val="32"/>
        </w:rPr>
        <w:t>人，外聘会计人员</w:t>
      </w:r>
      <w:r>
        <w:rPr>
          <w:rFonts w:eastAsia="仿宋"/>
          <w:sz w:val="32"/>
          <w:szCs w:val="32"/>
        </w:rPr>
        <w:t xml:space="preserve"> 1 </w:t>
      </w:r>
      <w:r>
        <w:rPr>
          <w:rFonts w:hAnsi="仿宋" w:eastAsia="仿宋"/>
          <w:sz w:val="32"/>
          <w:szCs w:val="32"/>
        </w:rPr>
        <w:t>人。</w:t>
      </w:r>
      <w:r>
        <w:rPr>
          <w:rFonts w:eastAsia="仿宋"/>
          <w:sz w:val="32"/>
          <w:szCs w:val="32"/>
        </w:rPr>
        <w:t xml:space="preserve">                 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二、部门预算单位构成</w:t>
      </w:r>
    </w:p>
    <w:p>
      <w:pPr>
        <w:spacing w:line="60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纳入</w:t>
      </w:r>
      <w:r>
        <w:rPr>
          <w:rFonts w:eastAsia="仿宋"/>
          <w:sz w:val="32"/>
          <w:szCs w:val="32"/>
        </w:rPr>
        <w:t>2020</w:t>
      </w:r>
      <w:r>
        <w:rPr>
          <w:rFonts w:hAnsi="仿宋" w:eastAsia="仿宋"/>
          <w:sz w:val="32"/>
          <w:szCs w:val="32"/>
        </w:rPr>
        <w:t>年部门预算编制范围的预算单位包括</w:t>
      </w:r>
      <w:r>
        <w:rPr>
          <w:rFonts w:eastAsia="仿宋"/>
          <w:sz w:val="32"/>
          <w:szCs w:val="32"/>
        </w:rPr>
        <w:t>:</w:t>
      </w:r>
    </w:p>
    <w:p>
      <w:pPr>
        <w:spacing w:line="60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（一）长沙市芙蓉区城市管理局本级</w:t>
      </w:r>
    </w:p>
    <w:p>
      <w:pPr>
        <w:spacing w:line="60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（二）芙蓉区数字化城市管理指挥中心</w:t>
      </w:r>
    </w:p>
    <w:p>
      <w:pPr>
        <w:adjustRightInd w:val="0"/>
        <w:snapToGrid w:val="0"/>
        <w:spacing w:line="572" w:lineRule="exact"/>
        <w:ind w:firstLine="640" w:firstLineChars="200"/>
        <w:jc w:val="left"/>
        <w:rPr>
          <w:rFonts w:hAnsi="仿宋"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  <w:r>
        <w:rPr>
          <w:rFonts w:hAnsi="仿宋" w:eastAsia="仿宋"/>
          <w:sz w:val="32"/>
          <w:szCs w:val="32"/>
        </w:rPr>
        <w:t>部门年度预算收支情况、部门整体支出使用方向和主要内容、涉及范围。</w:t>
      </w:r>
    </w:p>
    <w:p>
      <w:pPr>
        <w:adjustRightInd w:val="0"/>
        <w:snapToGrid w:val="0"/>
        <w:spacing w:line="572" w:lineRule="exact"/>
        <w:ind w:firstLine="640" w:firstLineChars="200"/>
        <w:jc w:val="left"/>
        <w:rPr>
          <w:rFonts w:hAnsi="仿宋" w:eastAsia="仿宋"/>
          <w:sz w:val="32"/>
          <w:szCs w:val="32"/>
        </w:rPr>
      </w:pPr>
      <w:r>
        <w:rPr>
          <w:rFonts w:hint="eastAsia" w:hAnsi="仿宋" w:eastAsia="仿宋"/>
          <w:sz w:val="32"/>
          <w:szCs w:val="32"/>
        </w:rPr>
        <w:t>2020年初部门预算</w:t>
      </w:r>
      <w:r>
        <w:rPr>
          <w:rFonts w:hint="eastAsia" w:hAnsi="仿宋" w:eastAsia="仿宋"/>
          <w:sz w:val="32"/>
          <w:szCs w:val="32"/>
          <w:lang w:eastAsia="zh-CN"/>
        </w:rPr>
        <w:t>总收入</w:t>
      </w:r>
      <w:r>
        <w:rPr>
          <w:rFonts w:hint="eastAsia" w:hAnsi="仿宋" w:eastAsia="仿宋"/>
          <w:sz w:val="32"/>
          <w:szCs w:val="32"/>
        </w:rPr>
        <w:t>5633.68万元，本年实际收入17427.76万元，其中一般公共预算财政拨款17324.70万元，其他收入103.6万元，上年结余5398.34万元，本年实际支出17623.22万元，其中基本支出692.28万元，项目支出16930.95万元，本年结余5202.88万元。</w:t>
      </w:r>
    </w:p>
    <w:p>
      <w:pPr>
        <w:spacing w:line="572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二、部门整体支出管理及使用情况</w:t>
      </w:r>
    </w:p>
    <w:p>
      <w:pPr>
        <w:adjustRightInd w:val="0"/>
        <w:snapToGrid w:val="0"/>
        <w:spacing w:line="572" w:lineRule="exact"/>
        <w:ind w:firstLine="643" w:firstLineChars="200"/>
        <w:jc w:val="left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（一）基本支出</w:t>
      </w:r>
    </w:p>
    <w:p>
      <w:pPr>
        <w:spacing w:line="572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基本支出主要包括用于基本工资、津贴补贴等人员经费以及办公费、邮电费、办公设备购置等日常公用经费。</w:t>
      </w:r>
    </w:p>
    <w:p>
      <w:pPr>
        <w:spacing w:line="60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本年部门决算基本支出</w:t>
      </w:r>
      <w:r>
        <w:rPr>
          <w:rFonts w:eastAsia="仿宋"/>
          <w:sz w:val="32"/>
          <w:szCs w:val="32"/>
        </w:rPr>
        <w:t>692.28</w:t>
      </w:r>
      <w:r>
        <w:rPr>
          <w:rFonts w:hAnsi="仿宋" w:eastAsia="仿宋"/>
          <w:sz w:val="32"/>
          <w:szCs w:val="32"/>
        </w:rPr>
        <w:t>万元，其中</w:t>
      </w:r>
      <w:r>
        <w:rPr>
          <w:rFonts w:eastAsia="仿宋"/>
          <w:sz w:val="32"/>
          <w:szCs w:val="32"/>
        </w:rPr>
        <w:t>:</w:t>
      </w:r>
      <w:r>
        <w:rPr>
          <w:rFonts w:hAnsi="仿宋" w:eastAsia="仿宋"/>
          <w:sz w:val="32"/>
          <w:szCs w:val="32"/>
        </w:rPr>
        <w:t>人员经费</w:t>
      </w:r>
      <w:r>
        <w:rPr>
          <w:rFonts w:eastAsia="仿宋"/>
          <w:sz w:val="32"/>
          <w:szCs w:val="32"/>
        </w:rPr>
        <w:t>647.2</w:t>
      </w:r>
      <w:r>
        <w:rPr>
          <w:rFonts w:hint="eastAsia" w:eastAsia="仿宋"/>
          <w:sz w:val="32"/>
          <w:szCs w:val="32"/>
        </w:rPr>
        <w:t>1</w:t>
      </w:r>
      <w:r>
        <w:rPr>
          <w:rFonts w:hAnsi="仿宋" w:eastAsia="仿宋"/>
          <w:sz w:val="32"/>
          <w:szCs w:val="32"/>
        </w:rPr>
        <w:t>万元，占基本支出</w:t>
      </w:r>
      <w:r>
        <w:rPr>
          <w:rFonts w:eastAsia="仿宋"/>
          <w:sz w:val="32"/>
          <w:szCs w:val="32"/>
        </w:rPr>
        <w:t>93.49%</w:t>
      </w:r>
      <w:r>
        <w:rPr>
          <w:rFonts w:hAnsi="仿宋" w:eastAsia="仿宋"/>
          <w:sz w:val="32"/>
          <w:szCs w:val="32"/>
        </w:rPr>
        <w:t>，主要包括基本工资、津贴补贴、奖金、伙食补助费、养老保险和职业年金缴费、职工基本医疗保险、公务员医疗补助、住房公积金、其他工资福利支出和退休费、抚恤金、医疗费补助、其他对个人和家庭的补助支出</w:t>
      </w:r>
      <w:r>
        <w:rPr>
          <w:rFonts w:eastAsia="仿宋"/>
          <w:sz w:val="32"/>
          <w:szCs w:val="32"/>
        </w:rPr>
        <w:t>;</w:t>
      </w:r>
      <w:r>
        <w:rPr>
          <w:rFonts w:hAnsi="仿宋" w:eastAsia="仿宋"/>
          <w:sz w:val="32"/>
          <w:szCs w:val="32"/>
        </w:rPr>
        <w:t>公用经费</w:t>
      </w:r>
      <w:r>
        <w:rPr>
          <w:rFonts w:eastAsia="仿宋"/>
          <w:sz w:val="32"/>
          <w:szCs w:val="32"/>
        </w:rPr>
        <w:t>45.07</w:t>
      </w:r>
      <w:r>
        <w:rPr>
          <w:rFonts w:hAnsi="仿宋" w:eastAsia="仿宋"/>
          <w:sz w:val="32"/>
          <w:szCs w:val="32"/>
        </w:rPr>
        <w:t>万元，占基本支出</w:t>
      </w:r>
      <w:r>
        <w:rPr>
          <w:rFonts w:eastAsia="仿宋"/>
          <w:sz w:val="32"/>
          <w:szCs w:val="32"/>
        </w:rPr>
        <w:t>6.51%</w:t>
      </w:r>
      <w:r>
        <w:rPr>
          <w:rFonts w:hAnsi="仿宋" w:eastAsia="仿宋"/>
          <w:sz w:val="32"/>
          <w:szCs w:val="32"/>
        </w:rPr>
        <w:t>，主要包括</w:t>
      </w:r>
      <w:r>
        <w:rPr>
          <w:rFonts w:eastAsia="仿宋"/>
          <w:sz w:val="32"/>
          <w:szCs w:val="32"/>
        </w:rPr>
        <w:t>:</w:t>
      </w:r>
      <w:r>
        <w:rPr>
          <w:rFonts w:hAnsi="仿宋" w:eastAsia="仿宋"/>
          <w:sz w:val="32"/>
          <w:szCs w:val="32"/>
        </w:rPr>
        <w:t>办公费、印刷费、邮电费、差旅费、劳务费、委托业务费、工会经费、其他交通费用、其他商品和服务支出。</w:t>
      </w:r>
    </w:p>
    <w:p>
      <w:pPr>
        <w:spacing w:line="572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我单位认真贯彻落实中央八项规定，执行作风建设相关规定，</w:t>
      </w:r>
      <w:r>
        <w:rPr>
          <w:rFonts w:hint="eastAsia" w:hAnsi="仿宋" w:eastAsia="仿宋"/>
          <w:sz w:val="32"/>
          <w:szCs w:val="32"/>
          <w:lang w:eastAsia="zh-CN"/>
        </w:rPr>
        <w:t>厉行节约</w:t>
      </w:r>
      <w:r>
        <w:rPr>
          <w:rFonts w:hAnsi="仿宋"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2020</w:t>
      </w:r>
      <w:r>
        <w:rPr>
          <w:rFonts w:hAnsi="仿宋" w:eastAsia="仿宋"/>
          <w:sz w:val="32"/>
          <w:szCs w:val="32"/>
        </w:rPr>
        <w:t>年全年无超预算三公经费支出，本年度三公经费决算数为</w:t>
      </w:r>
      <w:r>
        <w:rPr>
          <w:rFonts w:eastAsia="仿宋"/>
          <w:sz w:val="32"/>
          <w:szCs w:val="32"/>
        </w:rPr>
        <w:t>0</w:t>
      </w:r>
      <w:r>
        <w:rPr>
          <w:rFonts w:hAnsi="仿宋" w:eastAsia="仿宋"/>
          <w:sz w:val="32"/>
          <w:szCs w:val="32"/>
        </w:rPr>
        <w:t>万元。其中</w:t>
      </w:r>
      <w:r>
        <w:rPr>
          <w:rFonts w:eastAsia="仿宋"/>
          <w:sz w:val="32"/>
          <w:szCs w:val="32"/>
        </w:rPr>
        <w:t>:</w:t>
      </w:r>
      <w:r>
        <w:rPr>
          <w:rFonts w:hAnsi="仿宋" w:eastAsia="仿宋"/>
          <w:sz w:val="32"/>
          <w:szCs w:val="32"/>
        </w:rPr>
        <w:t>因公出国出境费用</w:t>
      </w:r>
      <w:r>
        <w:rPr>
          <w:rFonts w:eastAsia="仿宋"/>
          <w:sz w:val="32"/>
          <w:szCs w:val="32"/>
        </w:rPr>
        <w:t>0</w:t>
      </w:r>
      <w:r>
        <w:rPr>
          <w:rFonts w:hAnsi="仿宋" w:eastAsia="仿宋"/>
          <w:sz w:val="32"/>
          <w:szCs w:val="32"/>
        </w:rPr>
        <w:t>万元，公务接待费</w:t>
      </w:r>
      <w:r>
        <w:rPr>
          <w:rFonts w:eastAsia="仿宋"/>
          <w:sz w:val="32"/>
          <w:szCs w:val="32"/>
        </w:rPr>
        <w:t>0</w:t>
      </w:r>
      <w:r>
        <w:rPr>
          <w:rFonts w:hAnsi="仿宋" w:eastAsia="仿宋"/>
          <w:sz w:val="32"/>
          <w:szCs w:val="32"/>
        </w:rPr>
        <w:t>万元，公车运行维护费</w:t>
      </w:r>
      <w:r>
        <w:rPr>
          <w:rFonts w:eastAsia="仿宋"/>
          <w:sz w:val="32"/>
          <w:szCs w:val="32"/>
        </w:rPr>
        <w:t>0</w:t>
      </w:r>
      <w:r>
        <w:rPr>
          <w:rFonts w:hAnsi="仿宋" w:eastAsia="仿宋"/>
          <w:sz w:val="32"/>
          <w:szCs w:val="32"/>
        </w:rPr>
        <w:t>万元。</w:t>
      </w:r>
    </w:p>
    <w:p>
      <w:pPr>
        <w:adjustRightInd w:val="0"/>
        <w:snapToGrid w:val="0"/>
        <w:spacing w:line="572" w:lineRule="exact"/>
        <w:ind w:firstLine="643" w:firstLineChars="200"/>
        <w:jc w:val="left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（二）项目支出</w:t>
      </w:r>
    </w:p>
    <w:p>
      <w:pPr>
        <w:ind w:firstLine="480" w:firstLineChars="150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本年部门决算项目支出</w:t>
      </w:r>
      <w:r>
        <w:rPr>
          <w:rFonts w:eastAsia="仿宋"/>
          <w:sz w:val="32"/>
          <w:szCs w:val="32"/>
        </w:rPr>
        <w:t>16930.95</w:t>
      </w:r>
      <w:r>
        <w:rPr>
          <w:rFonts w:hAnsi="仿宋" w:eastAsia="仿宋"/>
          <w:sz w:val="32"/>
          <w:szCs w:val="32"/>
        </w:rPr>
        <w:t>万元，主要为区纪委派驻纪检组专项工作经费</w:t>
      </w:r>
      <w:r>
        <w:rPr>
          <w:rFonts w:eastAsia="仿宋"/>
          <w:sz w:val="32"/>
          <w:szCs w:val="32"/>
        </w:rPr>
        <w:t xml:space="preserve">3.19 </w:t>
      </w:r>
      <w:r>
        <w:rPr>
          <w:rFonts w:hAnsi="仿宋" w:eastAsia="仿宋"/>
          <w:sz w:val="32"/>
          <w:szCs w:val="32"/>
        </w:rPr>
        <w:t>万元，占项目支出</w:t>
      </w:r>
      <w:r>
        <w:rPr>
          <w:rFonts w:eastAsia="仿宋"/>
          <w:sz w:val="32"/>
          <w:szCs w:val="32"/>
        </w:rPr>
        <w:t>0.02%</w:t>
      </w:r>
      <w:r>
        <w:rPr>
          <w:rFonts w:hAnsi="仿宋" w:eastAsia="仿宋"/>
          <w:sz w:val="32"/>
          <w:szCs w:val="32"/>
        </w:rPr>
        <w:t>；长财社指</w:t>
      </w:r>
      <w:r>
        <w:rPr>
          <w:rFonts w:eastAsia="仿宋"/>
          <w:sz w:val="32"/>
          <w:szCs w:val="32"/>
        </w:rPr>
        <w:t>035</w:t>
      </w:r>
      <w:r>
        <w:rPr>
          <w:rFonts w:hAnsi="仿宋" w:eastAsia="仿宋"/>
          <w:sz w:val="32"/>
          <w:szCs w:val="32"/>
        </w:rPr>
        <w:t>号拨付</w:t>
      </w:r>
      <w:r>
        <w:rPr>
          <w:rFonts w:eastAsia="仿宋"/>
          <w:sz w:val="32"/>
          <w:szCs w:val="32"/>
        </w:rPr>
        <w:t>2016-2018</w:t>
      </w:r>
      <w:r>
        <w:rPr>
          <w:rFonts w:hAnsi="仿宋" w:eastAsia="仿宋"/>
          <w:sz w:val="32"/>
          <w:szCs w:val="32"/>
        </w:rPr>
        <w:t>年社区全面提质提档工作先进集体奖励</w:t>
      </w:r>
      <w:r>
        <w:rPr>
          <w:rFonts w:eastAsia="仿宋"/>
          <w:bCs/>
          <w:sz w:val="32"/>
          <w:szCs w:val="32"/>
        </w:rPr>
        <w:t>3.00</w:t>
      </w:r>
      <w:r>
        <w:rPr>
          <w:rFonts w:hAnsi="仿宋" w:eastAsia="仿宋"/>
          <w:sz w:val="32"/>
          <w:szCs w:val="32"/>
        </w:rPr>
        <w:t>万元，占项目支出</w:t>
      </w:r>
      <w:r>
        <w:rPr>
          <w:rFonts w:eastAsia="仿宋"/>
          <w:sz w:val="32"/>
          <w:szCs w:val="32"/>
        </w:rPr>
        <w:t>0.02%</w:t>
      </w:r>
      <w:r>
        <w:rPr>
          <w:rFonts w:hAnsi="仿宋" w:eastAsia="仿宋"/>
          <w:sz w:val="32"/>
          <w:szCs w:val="32"/>
        </w:rPr>
        <w:t>；空气质量第三方服务保障、油烟、涉挥发性有机物在线监测</w:t>
      </w:r>
      <w:r>
        <w:rPr>
          <w:rFonts w:eastAsia="仿宋"/>
          <w:sz w:val="32"/>
          <w:szCs w:val="32"/>
        </w:rPr>
        <w:t>162.55</w:t>
      </w:r>
      <w:r>
        <w:rPr>
          <w:rFonts w:hAnsi="仿宋" w:eastAsia="仿宋"/>
          <w:sz w:val="32"/>
          <w:szCs w:val="32"/>
        </w:rPr>
        <w:t>万元</w:t>
      </w:r>
      <w:r>
        <w:rPr>
          <w:rFonts w:eastAsia="仿宋"/>
          <w:sz w:val="32"/>
          <w:szCs w:val="32"/>
        </w:rPr>
        <w:t>,</w:t>
      </w:r>
      <w:r>
        <w:rPr>
          <w:rFonts w:hAnsi="仿宋" w:eastAsia="仿宋"/>
          <w:sz w:val="32"/>
          <w:szCs w:val="32"/>
        </w:rPr>
        <w:t>占项目支出的</w:t>
      </w:r>
      <w:r>
        <w:rPr>
          <w:rFonts w:eastAsia="仿宋"/>
          <w:sz w:val="32"/>
          <w:szCs w:val="32"/>
        </w:rPr>
        <w:t>0.96%;</w:t>
      </w:r>
      <w:r>
        <w:rPr>
          <w:rFonts w:hAnsi="仿宋" w:eastAsia="仿宋"/>
          <w:sz w:val="32"/>
          <w:szCs w:val="32"/>
        </w:rPr>
        <w:t>牛皮癣和向阳湖清理维护、数字化平台维护经费、网格化信息采集、精彩生活超市电梯维护及工程项目人员经费</w:t>
      </w:r>
      <w:r>
        <w:rPr>
          <w:rFonts w:eastAsia="仿宋"/>
          <w:sz w:val="32"/>
          <w:szCs w:val="32"/>
        </w:rPr>
        <w:t>335.25</w:t>
      </w:r>
      <w:r>
        <w:rPr>
          <w:rFonts w:hAnsi="仿宋" w:eastAsia="仿宋"/>
          <w:sz w:val="32"/>
          <w:szCs w:val="32"/>
        </w:rPr>
        <w:t>万元，占项目支出的</w:t>
      </w:r>
      <w:r>
        <w:rPr>
          <w:rFonts w:eastAsia="仿宋"/>
          <w:sz w:val="32"/>
          <w:szCs w:val="32"/>
        </w:rPr>
        <w:t>1.98%</w:t>
      </w:r>
      <w:r>
        <w:rPr>
          <w:rFonts w:hAnsi="仿宋" w:eastAsia="仿宋"/>
          <w:sz w:val="32"/>
          <w:szCs w:val="32"/>
        </w:rPr>
        <w:t>；开放社区物业服务和数字化平台改造采购</w:t>
      </w:r>
      <w:r>
        <w:rPr>
          <w:rFonts w:eastAsia="仿宋"/>
          <w:sz w:val="32"/>
          <w:szCs w:val="32"/>
        </w:rPr>
        <w:t>196.7</w:t>
      </w:r>
      <w:r>
        <w:rPr>
          <w:rFonts w:hint="eastAsia" w:eastAsia="仿宋"/>
          <w:sz w:val="32"/>
          <w:szCs w:val="32"/>
        </w:rPr>
        <w:t>1</w:t>
      </w:r>
      <w:r>
        <w:rPr>
          <w:rFonts w:hAnsi="仿宋" w:eastAsia="仿宋"/>
          <w:sz w:val="32"/>
          <w:szCs w:val="32"/>
        </w:rPr>
        <w:t>万元，占项目支出</w:t>
      </w:r>
      <w:r>
        <w:rPr>
          <w:rFonts w:eastAsia="仿宋"/>
          <w:sz w:val="32"/>
          <w:szCs w:val="32"/>
        </w:rPr>
        <w:t>1.16%</w:t>
      </w:r>
      <w:r>
        <w:rPr>
          <w:rFonts w:hAnsi="仿宋" w:eastAsia="仿宋"/>
          <w:sz w:val="32"/>
          <w:szCs w:val="32"/>
        </w:rPr>
        <w:t>；区投区建亮化及市下放景观亮化项目工程款</w:t>
      </w:r>
      <w:r>
        <w:rPr>
          <w:rFonts w:eastAsia="仿宋"/>
          <w:sz w:val="32"/>
          <w:szCs w:val="32"/>
        </w:rPr>
        <w:t>771.12</w:t>
      </w:r>
      <w:r>
        <w:rPr>
          <w:rFonts w:hAnsi="仿宋" w:eastAsia="仿宋"/>
          <w:sz w:val="32"/>
          <w:szCs w:val="32"/>
        </w:rPr>
        <w:t>万元，占项目支出的</w:t>
      </w:r>
      <w:r>
        <w:rPr>
          <w:rFonts w:eastAsia="仿宋"/>
          <w:sz w:val="32"/>
          <w:szCs w:val="32"/>
        </w:rPr>
        <w:t>4.55%</w:t>
      </w:r>
      <w:r>
        <w:rPr>
          <w:rFonts w:hAnsi="仿宋" w:eastAsia="仿宋"/>
          <w:sz w:val="32"/>
          <w:szCs w:val="32"/>
        </w:rPr>
        <w:t>；长财资环指</w:t>
      </w:r>
      <w:r>
        <w:rPr>
          <w:rFonts w:eastAsia="仿宋"/>
          <w:sz w:val="32"/>
          <w:szCs w:val="32"/>
        </w:rPr>
        <w:t>030</w:t>
      </w:r>
      <w:r>
        <w:rPr>
          <w:rFonts w:hAnsi="仿宋" w:eastAsia="仿宋"/>
          <w:sz w:val="32"/>
          <w:szCs w:val="32"/>
        </w:rPr>
        <w:t>号下达</w:t>
      </w:r>
      <w:r>
        <w:rPr>
          <w:rFonts w:eastAsia="仿宋"/>
          <w:sz w:val="32"/>
          <w:szCs w:val="32"/>
        </w:rPr>
        <w:t>2018</w:t>
      </w:r>
      <w:r>
        <w:rPr>
          <w:rFonts w:hAnsi="仿宋" w:eastAsia="仿宋"/>
          <w:sz w:val="32"/>
          <w:szCs w:val="32"/>
        </w:rPr>
        <w:t>年合市精品夜市规范点市级补助资金</w:t>
      </w:r>
      <w:r>
        <w:rPr>
          <w:rFonts w:eastAsia="仿宋"/>
          <w:sz w:val="32"/>
          <w:szCs w:val="32"/>
        </w:rPr>
        <w:t>20</w:t>
      </w:r>
      <w:r>
        <w:rPr>
          <w:rFonts w:hint="eastAsia" w:eastAsia="仿宋"/>
          <w:sz w:val="32"/>
          <w:szCs w:val="32"/>
        </w:rPr>
        <w:t>.00</w:t>
      </w:r>
      <w:r>
        <w:rPr>
          <w:rFonts w:hAnsi="仿宋" w:eastAsia="仿宋"/>
          <w:sz w:val="32"/>
          <w:szCs w:val="32"/>
        </w:rPr>
        <w:t>万元，占项目支出</w:t>
      </w:r>
      <w:r>
        <w:rPr>
          <w:rFonts w:eastAsia="仿宋"/>
          <w:sz w:val="32"/>
          <w:szCs w:val="32"/>
        </w:rPr>
        <w:t xml:space="preserve"> 0.12%</w:t>
      </w:r>
      <w:r>
        <w:rPr>
          <w:rFonts w:hint="eastAsia" w:hAnsi="仿宋" w:eastAsia="仿宋"/>
          <w:sz w:val="32"/>
          <w:szCs w:val="32"/>
        </w:rPr>
        <w:t>；景</w:t>
      </w:r>
      <w:r>
        <w:rPr>
          <w:rFonts w:hAnsi="仿宋" w:eastAsia="仿宋"/>
          <w:sz w:val="32"/>
          <w:szCs w:val="32"/>
        </w:rPr>
        <w:t>观亮化、农安老旧社区、火车站东西广场提质改造、</w:t>
      </w:r>
      <w:r>
        <w:rPr>
          <w:rFonts w:eastAsia="仿宋"/>
          <w:sz w:val="32"/>
          <w:szCs w:val="32"/>
        </w:rPr>
        <w:t>PPP</w:t>
      </w:r>
      <w:r>
        <w:rPr>
          <w:rFonts w:hAnsi="仿宋" w:eastAsia="仿宋"/>
          <w:sz w:val="32"/>
          <w:szCs w:val="32"/>
        </w:rPr>
        <w:t>项目等工程款</w:t>
      </w:r>
      <w:r>
        <w:rPr>
          <w:rFonts w:eastAsia="仿宋"/>
          <w:sz w:val="32"/>
          <w:szCs w:val="32"/>
        </w:rPr>
        <w:t>11821.08</w:t>
      </w:r>
      <w:r>
        <w:rPr>
          <w:rFonts w:hAnsi="仿宋" w:eastAsia="仿宋"/>
          <w:sz w:val="32"/>
          <w:szCs w:val="32"/>
        </w:rPr>
        <w:t>万元，占项目支出</w:t>
      </w:r>
      <w:r>
        <w:rPr>
          <w:rFonts w:eastAsia="仿宋"/>
          <w:sz w:val="32"/>
          <w:szCs w:val="32"/>
        </w:rPr>
        <w:t>69.82%</w:t>
      </w:r>
      <w:r>
        <w:rPr>
          <w:rFonts w:hAnsi="仿宋" w:eastAsia="仿宋"/>
          <w:sz w:val="32"/>
          <w:szCs w:val="32"/>
        </w:rPr>
        <w:t>；公共地带灭鼠、病媒生物基础设施建设及下水道烟雾熏杀经费</w:t>
      </w:r>
      <w:r>
        <w:rPr>
          <w:rFonts w:eastAsia="仿宋"/>
          <w:sz w:val="32"/>
          <w:szCs w:val="32"/>
        </w:rPr>
        <w:t>51.34</w:t>
      </w:r>
      <w:r>
        <w:rPr>
          <w:rFonts w:hAnsi="仿宋" w:eastAsia="仿宋"/>
          <w:sz w:val="32"/>
          <w:szCs w:val="32"/>
        </w:rPr>
        <w:t>万元，占项目支出</w:t>
      </w:r>
      <w:r>
        <w:rPr>
          <w:rFonts w:eastAsia="仿宋"/>
          <w:sz w:val="32"/>
          <w:szCs w:val="32"/>
        </w:rPr>
        <w:t>0.3</w:t>
      </w:r>
      <w:r>
        <w:rPr>
          <w:rFonts w:hint="eastAsia" w:eastAsia="仿宋"/>
          <w:sz w:val="32"/>
          <w:szCs w:val="32"/>
        </w:rPr>
        <w:t>0</w:t>
      </w:r>
      <w:r>
        <w:rPr>
          <w:rFonts w:eastAsia="仿宋"/>
          <w:sz w:val="32"/>
          <w:szCs w:val="32"/>
        </w:rPr>
        <w:t>%</w:t>
      </w:r>
      <w:r>
        <w:rPr>
          <w:rFonts w:hAnsi="仿宋" w:eastAsia="仿宋"/>
          <w:sz w:val="32"/>
          <w:szCs w:val="32"/>
        </w:rPr>
        <w:t>；社区提质改造、景观亮化建设等工程款</w:t>
      </w:r>
      <w:r>
        <w:rPr>
          <w:rFonts w:eastAsia="仿宋"/>
          <w:sz w:val="32"/>
          <w:szCs w:val="32"/>
        </w:rPr>
        <w:t>555.72</w:t>
      </w:r>
      <w:r>
        <w:rPr>
          <w:rFonts w:hAnsi="仿宋" w:eastAsia="仿宋"/>
          <w:color w:val="000000"/>
          <w:kern w:val="0"/>
          <w:sz w:val="32"/>
          <w:szCs w:val="32"/>
        </w:rPr>
        <w:t>万元，</w:t>
      </w:r>
      <w:r>
        <w:rPr>
          <w:rFonts w:hAnsi="仿宋" w:eastAsia="仿宋"/>
          <w:sz w:val="32"/>
          <w:szCs w:val="32"/>
        </w:rPr>
        <w:t>占项目支出</w:t>
      </w:r>
      <w:r>
        <w:rPr>
          <w:rFonts w:eastAsia="仿宋"/>
          <w:sz w:val="32"/>
          <w:szCs w:val="32"/>
        </w:rPr>
        <w:t>3.28%;</w:t>
      </w:r>
      <w:r>
        <w:rPr>
          <w:rFonts w:hAnsi="仿宋" w:eastAsia="仿宋"/>
          <w:sz w:val="32"/>
          <w:szCs w:val="32"/>
        </w:rPr>
        <w:t>长财资环指</w:t>
      </w:r>
      <w:r>
        <w:rPr>
          <w:rFonts w:eastAsia="仿宋"/>
          <w:sz w:val="32"/>
          <w:szCs w:val="32"/>
        </w:rPr>
        <w:t>078</w:t>
      </w:r>
      <w:r>
        <w:rPr>
          <w:rFonts w:hAnsi="仿宋" w:eastAsia="仿宋"/>
          <w:sz w:val="32"/>
          <w:szCs w:val="32"/>
        </w:rPr>
        <w:t>号、长财预</w:t>
      </w:r>
      <w:r>
        <w:rPr>
          <w:rFonts w:eastAsia="仿宋"/>
          <w:sz w:val="32"/>
          <w:szCs w:val="32"/>
        </w:rPr>
        <w:t>176</w:t>
      </w:r>
      <w:r>
        <w:rPr>
          <w:rFonts w:hAnsi="仿宋" w:eastAsia="仿宋"/>
          <w:sz w:val="32"/>
          <w:szCs w:val="32"/>
        </w:rPr>
        <w:t>号保障性安居工程专项资金</w:t>
      </w:r>
      <w:r>
        <w:rPr>
          <w:rFonts w:eastAsia="仿宋"/>
          <w:sz w:val="32"/>
          <w:szCs w:val="32"/>
        </w:rPr>
        <w:t>969.25</w:t>
      </w:r>
      <w:r>
        <w:rPr>
          <w:rFonts w:hAnsi="仿宋" w:eastAsia="仿宋"/>
          <w:sz w:val="32"/>
          <w:szCs w:val="32"/>
        </w:rPr>
        <w:t>万元，占项目支出</w:t>
      </w:r>
      <w:r>
        <w:rPr>
          <w:rFonts w:eastAsia="仿宋"/>
          <w:sz w:val="32"/>
          <w:szCs w:val="32"/>
        </w:rPr>
        <w:t>5.72%;</w:t>
      </w:r>
      <w:r>
        <w:rPr>
          <w:rFonts w:hAnsi="仿宋" w:eastAsia="仿宋"/>
          <w:sz w:val="32"/>
          <w:szCs w:val="32"/>
        </w:rPr>
        <w:t>生态环境局转大气治理专项及工程项目监理费</w:t>
      </w:r>
      <w:r>
        <w:rPr>
          <w:rFonts w:eastAsia="仿宋"/>
          <w:sz w:val="32"/>
          <w:szCs w:val="32"/>
        </w:rPr>
        <w:t>71.96</w:t>
      </w:r>
      <w:r>
        <w:rPr>
          <w:rFonts w:hAnsi="仿宋" w:eastAsia="仿宋"/>
          <w:sz w:val="32"/>
          <w:szCs w:val="32"/>
        </w:rPr>
        <w:t>万元，占项目支出</w:t>
      </w:r>
      <w:r>
        <w:rPr>
          <w:rFonts w:eastAsia="仿宋"/>
          <w:sz w:val="32"/>
          <w:szCs w:val="32"/>
        </w:rPr>
        <w:t>0.43 %;</w:t>
      </w:r>
      <w:r>
        <w:rPr>
          <w:rFonts w:hAnsi="仿宋" w:eastAsia="仿宋"/>
          <w:sz w:val="32"/>
          <w:szCs w:val="32"/>
        </w:rPr>
        <w:t>区委组织部转城管局</w:t>
      </w:r>
      <w:r>
        <w:rPr>
          <w:rFonts w:eastAsia="仿宋"/>
          <w:sz w:val="32"/>
          <w:szCs w:val="32"/>
        </w:rPr>
        <w:t>2019</w:t>
      </w:r>
      <w:r>
        <w:rPr>
          <w:rFonts w:hAnsi="仿宋" w:eastAsia="仿宋"/>
          <w:sz w:val="32"/>
          <w:szCs w:val="32"/>
        </w:rPr>
        <w:t>年度党费返还</w:t>
      </w:r>
      <w:r>
        <w:rPr>
          <w:rFonts w:eastAsia="仿宋"/>
          <w:sz w:val="32"/>
          <w:szCs w:val="32"/>
        </w:rPr>
        <w:t>0.98</w:t>
      </w:r>
      <w:r>
        <w:rPr>
          <w:rFonts w:hAnsi="仿宋" w:eastAsia="仿宋"/>
          <w:sz w:val="32"/>
          <w:szCs w:val="32"/>
        </w:rPr>
        <w:t>万元，占项目支出</w:t>
      </w:r>
      <w:r>
        <w:rPr>
          <w:rFonts w:eastAsia="仿宋"/>
          <w:sz w:val="32"/>
          <w:szCs w:val="32"/>
        </w:rPr>
        <w:t>0.01 %;</w:t>
      </w:r>
      <w:r>
        <w:rPr>
          <w:rFonts w:hAnsi="仿宋" w:eastAsia="仿宋"/>
          <w:sz w:val="32"/>
          <w:szCs w:val="32"/>
        </w:rPr>
        <w:t>交警队劝导员、协警工资、保险、绩效奖励、安全生产季度测评奖及日常工作经费</w:t>
      </w:r>
      <w:r>
        <w:rPr>
          <w:rFonts w:eastAsia="仿宋"/>
          <w:sz w:val="32"/>
          <w:szCs w:val="32"/>
        </w:rPr>
        <w:t>1968.8</w:t>
      </w:r>
      <w:r>
        <w:rPr>
          <w:rFonts w:hint="eastAsia" w:eastAsia="仿宋"/>
          <w:sz w:val="32"/>
          <w:szCs w:val="32"/>
        </w:rPr>
        <w:t>0</w:t>
      </w:r>
      <w:r>
        <w:rPr>
          <w:rFonts w:hAnsi="仿宋" w:eastAsia="仿宋"/>
          <w:sz w:val="32"/>
          <w:szCs w:val="32"/>
        </w:rPr>
        <w:t>万元，占项目支出</w:t>
      </w:r>
      <w:r>
        <w:rPr>
          <w:rFonts w:eastAsia="仿宋"/>
          <w:sz w:val="32"/>
          <w:szCs w:val="32"/>
        </w:rPr>
        <w:t>11.63%</w:t>
      </w:r>
      <w:r>
        <w:rPr>
          <w:rFonts w:hint="eastAsia" w:eastAsia="仿宋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三、部门项目组织实施情况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我单位严格遵照相关支付制度、经费管理办法来管理、使用财政资金，政府采购按照政府采购管理办法组织实施。对已具备验收条件的项目，及时组织验收、移交使用。同时加强对资金的监督管理，采取事前、事中、事后相结合、日常监督和专项监督相结合的方式，对资金使用行为实施全过程监督管理。</w:t>
      </w:r>
      <w:r>
        <w:rPr>
          <w:rFonts w:eastAsia="仿宋"/>
          <w:sz w:val="32"/>
          <w:szCs w:val="32"/>
        </w:rPr>
        <w:t xml:space="preserve"> 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eastAsia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资产管理情况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"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本单位</w:t>
      </w:r>
      <w:r>
        <w:rPr>
          <w:rFonts w:eastAsia="仿宋"/>
          <w:sz w:val="32"/>
          <w:szCs w:val="32"/>
        </w:rPr>
        <w:t>2020</w:t>
      </w:r>
      <w:r>
        <w:rPr>
          <w:rFonts w:hAnsi="仿宋" w:eastAsia="仿宋"/>
          <w:sz w:val="32"/>
          <w:szCs w:val="32"/>
        </w:rPr>
        <w:t>年末固定资产原值</w:t>
      </w:r>
      <w:r>
        <w:rPr>
          <w:rFonts w:eastAsia="仿宋"/>
          <w:sz w:val="32"/>
          <w:szCs w:val="32"/>
        </w:rPr>
        <w:t>262.74</w:t>
      </w:r>
      <w:r>
        <w:rPr>
          <w:rFonts w:hAnsi="仿宋" w:eastAsia="仿宋"/>
          <w:sz w:val="32"/>
          <w:szCs w:val="32"/>
        </w:rPr>
        <w:t>万元，其中通用设备原值</w:t>
      </w:r>
      <w:r>
        <w:rPr>
          <w:rFonts w:eastAsia="仿宋"/>
          <w:sz w:val="32"/>
          <w:szCs w:val="32"/>
        </w:rPr>
        <w:t>240.99</w:t>
      </w:r>
      <w:r>
        <w:rPr>
          <w:rFonts w:hAnsi="仿宋" w:eastAsia="仿宋"/>
          <w:sz w:val="32"/>
          <w:szCs w:val="32"/>
        </w:rPr>
        <w:t>万元；家具、用具、装具及动植物原值</w:t>
      </w:r>
      <w:r>
        <w:rPr>
          <w:rFonts w:eastAsia="仿宋"/>
          <w:sz w:val="32"/>
          <w:szCs w:val="32"/>
        </w:rPr>
        <w:t>21.75</w:t>
      </w:r>
      <w:r>
        <w:rPr>
          <w:rFonts w:hAnsi="仿宋" w:eastAsia="仿宋"/>
          <w:sz w:val="32"/>
          <w:szCs w:val="32"/>
        </w:rPr>
        <w:t>万元；固定资产累计折旧</w:t>
      </w:r>
      <w:r>
        <w:rPr>
          <w:rFonts w:eastAsia="仿宋"/>
          <w:sz w:val="32"/>
          <w:szCs w:val="32"/>
        </w:rPr>
        <w:t>183.20</w:t>
      </w:r>
      <w:r>
        <w:rPr>
          <w:rFonts w:hAnsi="仿宋" w:eastAsia="仿宋"/>
          <w:sz w:val="32"/>
          <w:szCs w:val="32"/>
        </w:rPr>
        <w:t>万元，其中通用设备累计折旧</w:t>
      </w:r>
      <w:r>
        <w:rPr>
          <w:rFonts w:eastAsia="仿宋"/>
          <w:sz w:val="32"/>
          <w:szCs w:val="32"/>
        </w:rPr>
        <w:t>167.87</w:t>
      </w:r>
      <w:r>
        <w:rPr>
          <w:rFonts w:hAnsi="仿宋" w:eastAsia="仿宋"/>
          <w:sz w:val="32"/>
          <w:szCs w:val="32"/>
        </w:rPr>
        <w:t>万元、家具、用具、装具及动植物累计折旧</w:t>
      </w:r>
      <w:r>
        <w:rPr>
          <w:rFonts w:eastAsia="仿宋"/>
          <w:sz w:val="32"/>
          <w:szCs w:val="32"/>
        </w:rPr>
        <w:t>15.33</w:t>
      </w:r>
      <w:r>
        <w:rPr>
          <w:rFonts w:hAnsi="仿宋" w:eastAsia="仿宋"/>
          <w:sz w:val="32"/>
          <w:szCs w:val="32"/>
        </w:rPr>
        <w:t>万元。</w:t>
      </w:r>
      <w:r>
        <w:rPr>
          <w:rFonts w:eastAsia="仿宋"/>
          <w:sz w:val="32"/>
          <w:szCs w:val="32"/>
        </w:rPr>
        <w:t>2020</w:t>
      </w:r>
      <w:r>
        <w:rPr>
          <w:rFonts w:hAnsi="仿宋" w:eastAsia="仿宋"/>
          <w:sz w:val="32"/>
          <w:szCs w:val="32"/>
        </w:rPr>
        <w:t>年购置资产</w:t>
      </w:r>
      <w:r>
        <w:rPr>
          <w:rFonts w:eastAsia="仿宋"/>
          <w:sz w:val="32"/>
          <w:szCs w:val="32"/>
        </w:rPr>
        <w:t>72.87</w:t>
      </w:r>
      <w:r>
        <w:rPr>
          <w:rFonts w:hAnsi="仿宋" w:eastAsia="仿宋"/>
          <w:sz w:val="32"/>
          <w:szCs w:val="32"/>
        </w:rPr>
        <w:t>万元，报废</w:t>
      </w:r>
      <w:r>
        <w:rPr>
          <w:rFonts w:eastAsia="仿宋"/>
          <w:sz w:val="32"/>
          <w:szCs w:val="32"/>
        </w:rPr>
        <w:t>146.71</w:t>
      </w:r>
      <w:r>
        <w:rPr>
          <w:rFonts w:hAnsi="仿宋" w:eastAsia="仿宋"/>
          <w:sz w:val="32"/>
          <w:szCs w:val="32"/>
        </w:rPr>
        <w:t>万元。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办公室设立资产专管员，负责资产管理，包括资产的采购、验收、登记、领用、维修保养及处置等日常管理。对纳入政府采购范围的资产，依法履行政府采购规定程序，对购入的固定资产要进行验收，填写固定资产验收单，明确使用科室和使用人</w:t>
      </w:r>
      <w:r>
        <w:rPr>
          <w:rFonts w:eastAsia="仿宋"/>
          <w:sz w:val="32"/>
          <w:szCs w:val="32"/>
        </w:rPr>
        <w:t>;</w:t>
      </w:r>
      <w:r>
        <w:rPr>
          <w:rFonts w:hAnsi="仿宋" w:eastAsia="仿宋"/>
          <w:sz w:val="32"/>
          <w:szCs w:val="32"/>
        </w:rPr>
        <w:t>专管员登记固定资产账卡，及时告知会计进行账务处理</w:t>
      </w:r>
      <w:r>
        <w:rPr>
          <w:rFonts w:eastAsia="仿宋"/>
          <w:sz w:val="32"/>
          <w:szCs w:val="32"/>
        </w:rPr>
        <w:t>;</w:t>
      </w:r>
      <w:r>
        <w:rPr>
          <w:rFonts w:hAnsi="仿宋" w:eastAsia="仿宋"/>
          <w:sz w:val="32"/>
          <w:szCs w:val="32"/>
        </w:rPr>
        <w:t>定期对固定资产进行账实核对，做到账账相符、账物相符、账卡相符。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</w:t>
      </w:r>
      <w:r>
        <w:rPr>
          <w:rFonts w:ascii="黑体" w:hAnsi="黑体" w:eastAsia="黑体"/>
          <w:sz w:val="32"/>
          <w:szCs w:val="32"/>
        </w:rPr>
        <w:t>部门整体支出绩效情况</w:t>
      </w:r>
    </w:p>
    <w:p>
      <w:pPr>
        <w:spacing w:line="600" w:lineRule="exact"/>
        <w:ind w:firstLine="640" w:firstLineChars="200"/>
        <w:jc w:val="left"/>
        <w:rPr>
          <w:rFonts w:hint="eastAsia" w:hAnsi="仿宋"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本单位</w:t>
      </w:r>
      <w:r>
        <w:rPr>
          <w:rFonts w:eastAsia="仿宋"/>
          <w:sz w:val="32"/>
          <w:szCs w:val="32"/>
        </w:rPr>
        <w:t>2020</w:t>
      </w:r>
      <w:r>
        <w:rPr>
          <w:rFonts w:hAnsi="仿宋" w:eastAsia="仿宋"/>
          <w:sz w:val="32"/>
          <w:szCs w:val="32"/>
        </w:rPr>
        <w:t>年本部门整体支出绩效目标</w:t>
      </w:r>
      <w:r>
        <w:rPr>
          <w:rFonts w:eastAsia="仿宋"/>
          <w:sz w:val="32"/>
          <w:szCs w:val="32"/>
        </w:rPr>
        <w:t>5633.68</w:t>
      </w:r>
      <w:r>
        <w:rPr>
          <w:rFonts w:hAnsi="仿宋" w:eastAsia="仿宋"/>
          <w:sz w:val="32"/>
          <w:szCs w:val="32"/>
        </w:rPr>
        <w:t>万元。其中</w:t>
      </w:r>
      <w:r>
        <w:rPr>
          <w:rFonts w:eastAsia="仿宋"/>
          <w:sz w:val="32"/>
          <w:szCs w:val="32"/>
        </w:rPr>
        <w:t>:</w:t>
      </w:r>
      <w:r>
        <w:rPr>
          <w:rFonts w:hAnsi="仿宋" w:eastAsia="仿宋"/>
          <w:sz w:val="32"/>
          <w:szCs w:val="32"/>
        </w:rPr>
        <w:t>部门项目支出绩效目标申报</w:t>
      </w:r>
      <w:r>
        <w:rPr>
          <w:rFonts w:eastAsia="仿宋"/>
          <w:sz w:val="32"/>
          <w:szCs w:val="32"/>
        </w:rPr>
        <w:t>23</w:t>
      </w:r>
      <w:r>
        <w:rPr>
          <w:rFonts w:hAnsi="仿宋" w:eastAsia="仿宋"/>
          <w:sz w:val="32"/>
          <w:szCs w:val="32"/>
        </w:rPr>
        <w:t>个，项目资金</w:t>
      </w:r>
      <w:r>
        <w:rPr>
          <w:rFonts w:eastAsia="仿宋"/>
          <w:sz w:val="32"/>
          <w:szCs w:val="32"/>
        </w:rPr>
        <w:t>4935.45</w:t>
      </w:r>
      <w:r>
        <w:rPr>
          <w:rFonts w:hAnsi="仿宋" w:eastAsia="仿宋"/>
          <w:sz w:val="32"/>
          <w:szCs w:val="32"/>
        </w:rPr>
        <w:t>万元。本单位对部门整体支出及各个项目支出开展绩效自评，根据绩效评价结果显示，本单位及时完成了各项工作，较好地履行了部门职能，合理安排支出，资金使用情况较好。</w:t>
      </w:r>
    </w:p>
    <w:p>
      <w:pPr>
        <w:spacing w:line="60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2020</w:t>
      </w:r>
      <w:r>
        <w:rPr>
          <w:rFonts w:hAnsi="仿宋" w:eastAsia="仿宋"/>
          <w:sz w:val="32"/>
          <w:szCs w:val="32"/>
        </w:rPr>
        <w:t>年，区城市管理局对全区城市系统进行管理、规划；指导辖区单位开展文明城市、卫生城市、宜居城市等创建活动；负责全区门店招牌的备案共组；组织实施全区市容提质工程建设和环境综合整治；组织提高全区城市管理信息化、数字化、科技化水平，充分发挥数字化城市管理指挥中心的应急、指挥、调度职能，促进城市管理工作的现代化；承办区委、区人民政府及上级主管部门交办的其他事项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整体绩效目标：目标</w:t>
      </w:r>
      <w:r>
        <w:rPr>
          <w:rFonts w:eastAsia="仿宋"/>
          <w:sz w:val="32"/>
          <w:szCs w:val="32"/>
        </w:rPr>
        <w:t>1</w:t>
      </w:r>
      <w:r>
        <w:rPr>
          <w:rFonts w:hAnsi="仿宋" w:eastAsia="仿宋"/>
          <w:sz w:val="32"/>
          <w:szCs w:val="32"/>
        </w:rPr>
        <w:t>、建立区城市综合管理体系，全面促进城市管理工作。目标</w:t>
      </w:r>
      <w:r>
        <w:rPr>
          <w:rFonts w:eastAsia="仿宋"/>
          <w:sz w:val="32"/>
          <w:szCs w:val="32"/>
        </w:rPr>
        <w:t>2</w:t>
      </w:r>
      <w:r>
        <w:rPr>
          <w:rFonts w:hAnsi="仿宋" w:eastAsia="仿宋"/>
          <w:sz w:val="32"/>
          <w:szCs w:val="32"/>
        </w:rPr>
        <w:t>、对全区城市管理信息化、数字化、科技化水平等各方面工作达到一定的目标效果，尽量做到对社会各界服务尽职尽责。目标</w:t>
      </w:r>
      <w:r>
        <w:rPr>
          <w:rFonts w:eastAsia="仿宋"/>
          <w:sz w:val="32"/>
          <w:szCs w:val="32"/>
        </w:rPr>
        <w:t>3</w:t>
      </w:r>
      <w:r>
        <w:rPr>
          <w:rFonts w:hAnsi="仿宋" w:eastAsia="仿宋"/>
          <w:sz w:val="32"/>
          <w:szCs w:val="32"/>
        </w:rPr>
        <w:t>、规范管理，狠抓干部队伍建设，打造廉洁高效队伍。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部门整体支出年度绩效产出指标</w:t>
      </w:r>
      <w:r>
        <w:rPr>
          <w:rFonts w:eastAsia="仿宋"/>
          <w:sz w:val="32"/>
          <w:szCs w:val="32"/>
        </w:rPr>
        <w:t>1</w:t>
      </w:r>
      <w:r>
        <w:rPr>
          <w:rFonts w:hAnsi="仿宋" w:eastAsia="仿宋"/>
          <w:sz w:val="32"/>
          <w:szCs w:val="32"/>
        </w:rPr>
        <w:t>、质量目标：门前市容环境卫生责任制工作全面提升了主次干道、街巷环境卫生水平，建设更高水准的文明城区。指标</w:t>
      </w:r>
      <w:r>
        <w:rPr>
          <w:rFonts w:eastAsia="仿宋"/>
          <w:sz w:val="32"/>
          <w:szCs w:val="32"/>
        </w:rPr>
        <w:t>2</w:t>
      </w:r>
      <w:r>
        <w:rPr>
          <w:rFonts w:hAnsi="仿宋" w:eastAsia="仿宋"/>
          <w:sz w:val="32"/>
          <w:szCs w:val="32"/>
        </w:rPr>
        <w:t>、成本指标：区内市投市建楼宇亮化维护共</w:t>
      </w:r>
      <w:r>
        <w:rPr>
          <w:rFonts w:eastAsia="仿宋"/>
          <w:sz w:val="32"/>
          <w:szCs w:val="32"/>
        </w:rPr>
        <w:t>62</w:t>
      </w:r>
      <w:r>
        <w:rPr>
          <w:rFonts w:hAnsi="仿宋" w:eastAsia="仿宋"/>
          <w:sz w:val="32"/>
          <w:szCs w:val="32"/>
        </w:rPr>
        <w:t>处，投资</w:t>
      </w:r>
      <w:r>
        <w:rPr>
          <w:rFonts w:eastAsia="仿宋"/>
          <w:sz w:val="32"/>
          <w:szCs w:val="32"/>
        </w:rPr>
        <w:t>715.99</w:t>
      </w:r>
      <w:r>
        <w:rPr>
          <w:rFonts w:hAnsi="仿宋" w:eastAsia="仿宋"/>
          <w:sz w:val="32"/>
          <w:szCs w:val="32"/>
        </w:rPr>
        <w:t>万元。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部门整体支出年度绩效效益指标</w:t>
      </w:r>
      <w:r>
        <w:rPr>
          <w:rFonts w:eastAsia="仿宋"/>
          <w:sz w:val="32"/>
          <w:szCs w:val="32"/>
        </w:rPr>
        <w:t>1</w:t>
      </w:r>
      <w:r>
        <w:rPr>
          <w:rFonts w:hAnsi="仿宋" w:eastAsia="仿宋"/>
          <w:sz w:val="32"/>
          <w:szCs w:val="32"/>
        </w:rPr>
        <w:t>、定性目标：</w:t>
      </w:r>
      <w:r>
        <w:rPr>
          <w:rFonts w:eastAsia="仿宋"/>
          <w:sz w:val="32"/>
          <w:szCs w:val="32"/>
        </w:rPr>
        <w:t xml:space="preserve"> </w:t>
      </w:r>
      <w:r>
        <w:rPr>
          <w:rFonts w:hAnsi="仿宋" w:eastAsia="仿宋"/>
          <w:sz w:val="32"/>
          <w:szCs w:val="32"/>
        </w:rPr>
        <w:t>向阳湖及两厢市政设施绿化维护项目，通过维护保持向阳湖水质</w:t>
      </w:r>
      <w:r>
        <w:rPr>
          <w:rFonts w:eastAsia="仿宋"/>
          <w:sz w:val="32"/>
          <w:szCs w:val="32"/>
        </w:rPr>
        <w:t>pH</w:t>
      </w:r>
      <w:r>
        <w:rPr>
          <w:rFonts w:hAnsi="仿宋" w:eastAsia="仿宋"/>
          <w:sz w:val="32"/>
          <w:szCs w:val="32"/>
        </w:rPr>
        <w:t>值介于</w:t>
      </w:r>
      <w:r>
        <w:rPr>
          <w:rFonts w:eastAsia="仿宋"/>
          <w:sz w:val="32"/>
          <w:szCs w:val="32"/>
        </w:rPr>
        <w:t>6.0—9.0</w:t>
      </w:r>
      <w:r>
        <w:rPr>
          <w:rFonts w:hAnsi="仿宋" w:eastAsia="仿宋"/>
          <w:sz w:val="32"/>
          <w:szCs w:val="32"/>
        </w:rPr>
        <w:t>，向阳湖两厢市政设施完善，绿化环境优美。指标</w:t>
      </w:r>
      <w:r>
        <w:rPr>
          <w:rFonts w:eastAsia="仿宋"/>
          <w:sz w:val="32"/>
          <w:szCs w:val="32"/>
        </w:rPr>
        <w:t>2</w:t>
      </w:r>
      <w:r>
        <w:rPr>
          <w:rFonts w:hAnsi="仿宋" w:eastAsia="仿宋"/>
          <w:sz w:val="32"/>
          <w:szCs w:val="32"/>
        </w:rPr>
        <w:t>、可持续影响指标：芙蓉区楼宇景观亮化维护服务项目，持续增加城市魅力，促进发展。有助于社会发展，提升居民生活质量，人民群众满意度</w:t>
      </w:r>
      <w:r>
        <w:rPr>
          <w:rFonts w:eastAsia="仿宋"/>
          <w:sz w:val="32"/>
          <w:szCs w:val="32"/>
        </w:rPr>
        <w:t>100%</w:t>
      </w:r>
      <w:r>
        <w:rPr>
          <w:rFonts w:hAnsi="仿宋" w:eastAsia="仿宋"/>
          <w:sz w:val="32"/>
          <w:szCs w:val="32"/>
        </w:rPr>
        <w:t>。指标</w:t>
      </w:r>
      <w:r>
        <w:rPr>
          <w:rFonts w:eastAsia="仿宋"/>
          <w:sz w:val="32"/>
          <w:szCs w:val="32"/>
        </w:rPr>
        <w:t>3</w:t>
      </w:r>
      <w:r>
        <w:rPr>
          <w:rFonts w:hAnsi="仿宋" w:eastAsia="仿宋"/>
          <w:sz w:val="32"/>
          <w:szCs w:val="32"/>
        </w:rPr>
        <w:t>、定量目标：优化投资环境，维护城市市容整洁，实现社会效益和经济效益的同步增长。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六、存在的主要问题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绩效评价机制有待完善，以形成对财政资金的全面监管和对绩效目标的实时监控。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七、改进措施和有关建议</w:t>
      </w:r>
    </w:p>
    <w:p>
      <w:pPr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完善绩效评价机制，建立和完善内部控制制度，形成完善的事前、事中、事后全过程的内控监督制度。</w:t>
      </w:r>
    </w:p>
    <w:sectPr>
      <w:footerReference r:id="rId3" w:type="default"/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5B54C3"/>
    <w:multiLevelType w:val="multilevel"/>
    <w:tmpl w:val="255B54C3"/>
    <w:lvl w:ilvl="0" w:tentative="0">
      <w:start w:val="4"/>
      <w:numFmt w:val="japaneseCounting"/>
      <w:lvlText w:val="%1、"/>
      <w:lvlJc w:val="left"/>
      <w:pPr>
        <w:ind w:left="1360" w:hanging="720"/>
      </w:pPr>
      <w:rPr>
        <w:rFonts w:hint="default" w:ascii="黑体" w:hAnsi="黑体" w:eastAsia="黑体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Q5ZWEzZmQ4MDMzMTRmMmEzMjFiZTNhMDE0NmQ0ODMifQ=="/>
  </w:docVars>
  <w:rsids>
    <w:rsidRoot w:val="1A3D1458"/>
    <w:rsid w:val="00006D64"/>
    <w:rsid w:val="000153C4"/>
    <w:rsid w:val="000164AC"/>
    <w:rsid w:val="00026113"/>
    <w:rsid w:val="00040CF6"/>
    <w:rsid w:val="0006193D"/>
    <w:rsid w:val="00067941"/>
    <w:rsid w:val="00075390"/>
    <w:rsid w:val="000822CD"/>
    <w:rsid w:val="000A38FC"/>
    <w:rsid w:val="000A6409"/>
    <w:rsid w:val="000B691A"/>
    <w:rsid w:val="001217F9"/>
    <w:rsid w:val="001538FB"/>
    <w:rsid w:val="001C40B0"/>
    <w:rsid w:val="001E0EB9"/>
    <w:rsid w:val="001E7FD2"/>
    <w:rsid w:val="00203F8E"/>
    <w:rsid w:val="00250269"/>
    <w:rsid w:val="0025403A"/>
    <w:rsid w:val="002911BF"/>
    <w:rsid w:val="002B3822"/>
    <w:rsid w:val="003055FE"/>
    <w:rsid w:val="003067DE"/>
    <w:rsid w:val="00321AE5"/>
    <w:rsid w:val="003341E3"/>
    <w:rsid w:val="00381473"/>
    <w:rsid w:val="00397944"/>
    <w:rsid w:val="003C4925"/>
    <w:rsid w:val="003C4E07"/>
    <w:rsid w:val="00403E8B"/>
    <w:rsid w:val="0040638D"/>
    <w:rsid w:val="00420AB1"/>
    <w:rsid w:val="00420D81"/>
    <w:rsid w:val="00440AF0"/>
    <w:rsid w:val="00494343"/>
    <w:rsid w:val="004A6154"/>
    <w:rsid w:val="004C0CC2"/>
    <w:rsid w:val="004C284F"/>
    <w:rsid w:val="004E0B11"/>
    <w:rsid w:val="005264BF"/>
    <w:rsid w:val="005415F0"/>
    <w:rsid w:val="00553585"/>
    <w:rsid w:val="0059259C"/>
    <w:rsid w:val="005B0C72"/>
    <w:rsid w:val="005B56B6"/>
    <w:rsid w:val="005E781E"/>
    <w:rsid w:val="005F135B"/>
    <w:rsid w:val="006569BE"/>
    <w:rsid w:val="00681D4D"/>
    <w:rsid w:val="0070288E"/>
    <w:rsid w:val="007048FD"/>
    <w:rsid w:val="0071194E"/>
    <w:rsid w:val="00792C93"/>
    <w:rsid w:val="0079640C"/>
    <w:rsid w:val="007C19D0"/>
    <w:rsid w:val="007E4EC3"/>
    <w:rsid w:val="007E7C11"/>
    <w:rsid w:val="00800AA2"/>
    <w:rsid w:val="008259E5"/>
    <w:rsid w:val="008306BE"/>
    <w:rsid w:val="008351DE"/>
    <w:rsid w:val="00853645"/>
    <w:rsid w:val="00860C6B"/>
    <w:rsid w:val="0088117C"/>
    <w:rsid w:val="008C0166"/>
    <w:rsid w:val="008C3FD9"/>
    <w:rsid w:val="008C79CC"/>
    <w:rsid w:val="008D01DF"/>
    <w:rsid w:val="008E0C41"/>
    <w:rsid w:val="008E4CFF"/>
    <w:rsid w:val="008E7AE6"/>
    <w:rsid w:val="00905855"/>
    <w:rsid w:val="009D3EF8"/>
    <w:rsid w:val="00A033EB"/>
    <w:rsid w:val="00A103C8"/>
    <w:rsid w:val="00A14F2F"/>
    <w:rsid w:val="00A3495E"/>
    <w:rsid w:val="00A371F0"/>
    <w:rsid w:val="00A46C68"/>
    <w:rsid w:val="00B03B67"/>
    <w:rsid w:val="00B13581"/>
    <w:rsid w:val="00B148F8"/>
    <w:rsid w:val="00B17DE5"/>
    <w:rsid w:val="00B27F6C"/>
    <w:rsid w:val="00B309A6"/>
    <w:rsid w:val="00B37C01"/>
    <w:rsid w:val="00B95BA4"/>
    <w:rsid w:val="00BB58A0"/>
    <w:rsid w:val="00BD7377"/>
    <w:rsid w:val="00BE2CA1"/>
    <w:rsid w:val="00BF0E6A"/>
    <w:rsid w:val="00BF5279"/>
    <w:rsid w:val="00C0084B"/>
    <w:rsid w:val="00C01AE5"/>
    <w:rsid w:val="00C025F3"/>
    <w:rsid w:val="00C21306"/>
    <w:rsid w:val="00C60103"/>
    <w:rsid w:val="00C66DC2"/>
    <w:rsid w:val="00C66EF6"/>
    <w:rsid w:val="00C82981"/>
    <w:rsid w:val="00CC1669"/>
    <w:rsid w:val="00CC2C1D"/>
    <w:rsid w:val="00D13621"/>
    <w:rsid w:val="00D70CFC"/>
    <w:rsid w:val="00D75E78"/>
    <w:rsid w:val="00D875D8"/>
    <w:rsid w:val="00D9682B"/>
    <w:rsid w:val="00DD4009"/>
    <w:rsid w:val="00E10436"/>
    <w:rsid w:val="00E23E8F"/>
    <w:rsid w:val="00E377C0"/>
    <w:rsid w:val="00E520EA"/>
    <w:rsid w:val="00E55241"/>
    <w:rsid w:val="00E55440"/>
    <w:rsid w:val="00E6180C"/>
    <w:rsid w:val="00E66DE0"/>
    <w:rsid w:val="00E9029F"/>
    <w:rsid w:val="00EA3BED"/>
    <w:rsid w:val="00EA3DDC"/>
    <w:rsid w:val="00EA4A2E"/>
    <w:rsid w:val="00EC5BEB"/>
    <w:rsid w:val="00F05B42"/>
    <w:rsid w:val="00F26A99"/>
    <w:rsid w:val="00F3115E"/>
    <w:rsid w:val="00F56E3A"/>
    <w:rsid w:val="00F63821"/>
    <w:rsid w:val="00F7570E"/>
    <w:rsid w:val="00F84810"/>
    <w:rsid w:val="00F86472"/>
    <w:rsid w:val="00F928D5"/>
    <w:rsid w:val="00FA61B0"/>
    <w:rsid w:val="00FE258B"/>
    <w:rsid w:val="00FE4406"/>
    <w:rsid w:val="07343107"/>
    <w:rsid w:val="08697868"/>
    <w:rsid w:val="0A257BCB"/>
    <w:rsid w:val="0B1C2C5E"/>
    <w:rsid w:val="1A3D1458"/>
    <w:rsid w:val="1F414ECF"/>
    <w:rsid w:val="23071126"/>
    <w:rsid w:val="23425915"/>
    <w:rsid w:val="291F6330"/>
    <w:rsid w:val="2B46586E"/>
    <w:rsid w:val="3166319D"/>
    <w:rsid w:val="381A70D5"/>
    <w:rsid w:val="38992656"/>
    <w:rsid w:val="3F0535F9"/>
    <w:rsid w:val="41054C1D"/>
    <w:rsid w:val="428E6269"/>
    <w:rsid w:val="44AE2819"/>
    <w:rsid w:val="55C2039D"/>
    <w:rsid w:val="57F43F51"/>
    <w:rsid w:val="5A4739E2"/>
    <w:rsid w:val="6A6766AE"/>
    <w:rsid w:val="6DCF2E07"/>
    <w:rsid w:val="6DFA5F5E"/>
    <w:rsid w:val="7127704D"/>
    <w:rsid w:val="720E3192"/>
    <w:rsid w:val="737D66E1"/>
    <w:rsid w:val="768837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8">
    <w:name w:val="页眉 Char"/>
    <w:basedOn w:val="5"/>
    <w:link w:val="3"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495ECA-4C7C-4BAB-9A40-475193E79E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2719</Words>
  <Characters>3046</Characters>
  <Lines>22</Lines>
  <Paragraphs>6</Paragraphs>
  <TotalTime>88</TotalTime>
  <ScaleCrop>false</ScaleCrop>
  <LinksUpToDate>false</LinksUpToDate>
  <CharactersWithSpaces>3081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2021-03-10T01:04:00Z</dcterms:created>
  <dc:creator>灵宁</dc:creator>
  <cp:lastModifiedBy>杨瑶</cp:lastModifiedBy>
  <cp:lastPrinted>2020-09-16T02:19:00Z</cp:lastPrinted>
  <dcterms:modified xsi:type="dcterms:W3CDTF">2022-05-23T02:30:45Z</dcterms:modified>
  <cp:revision>344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080F8019570C4B64B64AC3CFCA6CDF29</vt:lpwstr>
  </property>
</Properties>
</file>