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2021年度长沙市芙蓉区城市管理局</w:t>
      </w:r>
    </w:p>
    <w:p>
      <w:pPr>
        <w:widowControl/>
        <w:shd w:val="clear" w:color="auto" w:fill="FFFFFF"/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部门整体支出绩效评价报告</w:t>
      </w:r>
    </w:p>
    <w:p>
      <w:pPr>
        <w:spacing w:line="600" w:lineRule="exact"/>
        <w:jc w:val="center"/>
        <w:rPr>
          <w:rFonts w:ascii="Times New Roman" w:hAnsi="Times New Roman" w:eastAsia="楷体_GB2312"/>
          <w:kern w:val="0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一、部门概况</w:t>
      </w:r>
    </w:p>
    <w:p>
      <w:pPr>
        <w:spacing w:line="600" w:lineRule="exact"/>
        <w:jc w:val="left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仿宋" w:eastAsia="仿宋"/>
          <w:b/>
          <w:sz w:val="32"/>
          <w:szCs w:val="32"/>
        </w:rPr>
        <w:t>（一）职能职责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）贯彻执行国家、省、市、区有关城市管理工作的方针、政策和法律、法规、文件及其他规章制度</w:t>
      </w:r>
      <w:r>
        <w:rPr>
          <w:rFonts w:ascii="Times New Roman" w:hAnsi="Times New Roman" w:eastAsia="仿宋"/>
          <w:sz w:val="32"/>
          <w:szCs w:val="32"/>
        </w:rPr>
        <w:t>;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）制定区级城市管理工作规划并组织实施</w:t>
      </w:r>
      <w:r>
        <w:rPr>
          <w:rFonts w:ascii="Times New Roman" w:hAnsi="Times New Roman" w:eastAsia="仿宋"/>
          <w:sz w:val="32"/>
          <w:szCs w:val="32"/>
        </w:rPr>
        <w:t>;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）负责组织协调全区城市管理综合考核，通报考核结果</w:t>
      </w:r>
      <w:r>
        <w:rPr>
          <w:rFonts w:ascii="Times New Roman" w:hAnsi="Times New Roman" w:eastAsia="仿宋"/>
          <w:sz w:val="32"/>
          <w:szCs w:val="32"/>
        </w:rPr>
        <w:t>;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4</w:t>
      </w:r>
      <w:r>
        <w:rPr>
          <w:rFonts w:ascii="Times New Roman" w:hAnsi="仿宋" w:eastAsia="仿宋"/>
          <w:sz w:val="32"/>
          <w:szCs w:val="32"/>
        </w:rPr>
        <w:t>）负责区城市管理数字化、网格化工作的组织与实施</w:t>
      </w:r>
      <w:r>
        <w:rPr>
          <w:rFonts w:ascii="Times New Roman" w:hAnsi="Times New Roman" w:eastAsia="仿宋"/>
          <w:sz w:val="32"/>
          <w:szCs w:val="32"/>
        </w:rPr>
        <w:t>;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5</w:t>
      </w:r>
      <w:r>
        <w:rPr>
          <w:rFonts w:ascii="Times New Roman" w:hAnsi="仿宋" w:eastAsia="仿宋"/>
          <w:sz w:val="32"/>
          <w:szCs w:val="32"/>
        </w:rPr>
        <w:t>）完成区政府交办的相关设施的维护和提质改造工作</w:t>
      </w:r>
      <w:r>
        <w:rPr>
          <w:rFonts w:ascii="Times New Roman" w:hAnsi="Times New Roman" w:eastAsia="仿宋"/>
          <w:sz w:val="32"/>
          <w:szCs w:val="32"/>
        </w:rPr>
        <w:t>;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ascii="Times New Roman" w:hAnsi="仿宋" w:eastAsia="仿宋"/>
          <w:sz w:val="32"/>
          <w:szCs w:val="32"/>
        </w:rPr>
        <w:t>）负责燃气热力管理工作</w:t>
      </w:r>
      <w:r>
        <w:rPr>
          <w:rFonts w:ascii="Times New Roman" w:hAnsi="Times New Roman" w:eastAsia="仿宋"/>
          <w:sz w:val="32"/>
          <w:szCs w:val="32"/>
        </w:rPr>
        <w:t>;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7</w:t>
      </w:r>
      <w:r>
        <w:rPr>
          <w:rFonts w:ascii="Times New Roman" w:hAnsi="仿宋" w:eastAsia="仿宋"/>
          <w:sz w:val="32"/>
          <w:szCs w:val="32"/>
        </w:rPr>
        <w:t>）负责区城市管理委员会办公室日常工作</w:t>
      </w:r>
      <w:r>
        <w:rPr>
          <w:rFonts w:ascii="Times New Roman" w:hAnsi="Times New Roman" w:eastAsia="仿宋"/>
          <w:sz w:val="32"/>
          <w:szCs w:val="32"/>
        </w:rPr>
        <w:t>;</w:t>
      </w:r>
    </w:p>
    <w:p>
      <w:pPr>
        <w:spacing w:line="600" w:lineRule="exact"/>
        <w:ind w:firstLine="320" w:firstLineChars="1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8</w:t>
      </w:r>
      <w:r>
        <w:rPr>
          <w:rFonts w:ascii="Times New Roman" w:hAnsi="仿宋" w:eastAsia="仿宋"/>
          <w:sz w:val="32"/>
          <w:szCs w:val="32"/>
        </w:rPr>
        <w:t>）完成区委、区政府及上级各部门交办的其他事项。</w:t>
      </w:r>
    </w:p>
    <w:p>
      <w:pPr>
        <w:spacing w:line="600" w:lineRule="exact"/>
        <w:jc w:val="left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仿宋" w:eastAsia="仿宋"/>
          <w:b/>
          <w:sz w:val="32"/>
          <w:szCs w:val="32"/>
        </w:rPr>
        <w:t>（二）机构设置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根据编办核定，芙蓉区城市管理局现设有</w:t>
      </w:r>
      <w:r>
        <w:rPr>
          <w:rFonts w:ascii="Times New Roman" w:hAnsi="Times New Roman" w:eastAsia="仿宋"/>
          <w:sz w:val="32"/>
          <w:szCs w:val="32"/>
        </w:rPr>
        <w:t xml:space="preserve"> 4 </w:t>
      </w:r>
      <w:r>
        <w:rPr>
          <w:rFonts w:ascii="Times New Roman" w:hAnsi="仿宋" w:eastAsia="仿宋"/>
          <w:sz w:val="32"/>
          <w:szCs w:val="32"/>
        </w:rPr>
        <w:t>个职能科（室）和</w:t>
      </w:r>
      <w:r>
        <w:rPr>
          <w:rFonts w:ascii="Times New Roman" w:hAnsi="Times New Roman" w:eastAsia="仿宋"/>
          <w:sz w:val="32"/>
          <w:szCs w:val="32"/>
        </w:rPr>
        <w:t xml:space="preserve">1 </w:t>
      </w:r>
      <w:r>
        <w:rPr>
          <w:rFonts w:ascii="Times New Roman" w:hAnsi="仿宋" w:eastAsia="仿宋"/>
          <w:sz w:val="32"/>
          <w:szCs w:val="32"/>
        </w:rPr>
        <w:t>个二级机构，分别是：办公室、基础设施管理科、市容监管考核科、综合管理科及芙蓉区数字化城管指挥中心（副科级、二级机构）。城管局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年底行政编制</w:t>
      </w:r>
      <w:r>
        <w:rPr>
          <w:rFonts w:ascii="Times New Roman" w:hAnsi="Times New Roman" w:eastAsia="仿宋"/>
          <w:sz w:val="32"/>
          <w:szCs w:val="32"/>
        </w:rPr>
        <w:t>9</w:t>
      </w:r>
      <w:r>
        <w:rPr>
          <w:rFonts w:ascii="Times New Roman" w:hAnsi="仿宋" w:eastAsia="仿宋"/>
          <w:sz w:val="32"/>
          <w:szCs w:val="32"/>
        </w:rPr>
        <w:t>个，事业编制</w:t>
      </w:r>
      <w:r>
        <w:rPr>
          <w:rFonts w:ascii="Times New Roman" w:hAnsi="Times New Roman" w:eastAsia="仿宋"/>
          <w:sz w:val="32"/>
          <w:szCs w:val="32"/>
        </w:rPr>
        <w:t>12</w:t>
      </w:r>
      <w:r>
        <w:rPr>
          <w:rFonts w:ascii="Times New Roman" w:hAnsi="仿宋" w:eastAsia="仿宋"/>
          <w:sz w:val="32"/>
          <w:szCs w:val="32"/>
        </w:rPr>
        <w:t>个。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年无人员变动。城管协管员（公益性岗位）</w:t>
      </w:r>
      <w:r>
        <w:rPr>
          <w:rFonts w:ascii="Times New Roman" w:hAnsi="Times New Roman" w:eastAsia="仿宋"/>
          <w:sz w:val="32"/>
          <w:szCs w:val="32"/>
        </w:rPr>
        <w:t>8</w:t>
      </w:r>
      <w:r>
        <w:rPr>
          <w:rFonts w:ascii="Times New Roman" w:hAnsi="仿宋" w:eastAsia="仿宋"/>
          <w:sz w:val="32"/>
          <w:szCs w:val="32"/>
        </w:rPr>
        <w:t>人，城管特勤队员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人，数字化平台协同办公人员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人（市政、园林、环卫各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人），项目建设及亮化外聘技术人员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人和财务人员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人。设置党组书记、局长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名，副局长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名。</w:t>
      </w:r>
    </w:p>
    <w:p>
      <w:pPr>
        <w:spacing w:line="600" w:lineRule="exact"/>
        <w:jc w:val="left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二、部门预算单位构成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纳入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年部门预算编制范围的预算单位包括</w:t>
      </w:r>
      <w:r>
        <w:rPr>
          <w:rFonts w:ascii="Times New Roman" w:hAnsi="Times New Roman" w:eastAsia="仿宋"/>
          <w:sz w:val="32"/>
          <w:szCs w:val="32"/>
        </w:rPr>
        <w:t>: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（一）长沙市芙蓉区城市管理局本级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</w:rPr>
      </w:pPr>
      <w:r>
        <w:rPr>
          <w:rFonts w:ascii="Times New Roman" w:hAnsi="仿宋" w:eastAsia="仿宋"/>
          <w:sz w:val="32"/>
          <w:szCs w:val="32"/>
        </w:rPr>
        <w:t>（二）芙蓉区数字化城市管理指挥中心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bCs/>
          <w:sz w:val="32"/>
          <w:szCs w:val="32"/>
        </w:rPr>
      </w:pPr>
      <w:r>
        <w:rPr>
          <w:rFonts w:ascii="Times New Roman" w:hAnsi="仿宋" w:eastAsia="仿宋"/>
          <w:bCs/>
          <w:sz w:val="32"/>
          <w:szCs w:val="32"/>
        </w:rPr>
        <w:t>部门（单位）整体支出规模、使用方向和主要内容、涉及范围等。</w:t>
      </w:r>
    </w:p>
    <w:p>
      <w:pPr>
        <w:adjustRightInd w:val="0"/>
        <w:snapToGrid w:val="0"/>
        <w:spacing w:line="572" w:lineRule="exact"/>
        <w:ind w:firstLine="640" w:firstLineChars="200"/>
        <w:jc w:val="left"/>
        <w:rPr>
          <w:rFonts w:ascii="Times New Roman" w:hAnsi="Times New Roman" w:eastAsia="仿宋"/>
        </w:rPr>
      </w:pP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年初部门预算总收入</w:t>
      </w:r>
      <w:r>
        <w:rPr>
          <w:rFonts w:ascii="Times New Roman" w:hAnsi="Times New Roman" w:eastAsia="仿宋"/>
          <w:sz w:val="32"/>
          <w:szCs w:val="32"/>
        </w:rPr>
        <w:t>4179.71</w:t>
      </w:r>
      <w:r>
        <w:rPr>
          <w:rFonts w:ascii="Times New Roman" w:hAnsi="仿宋" w:eastAsia="仿宋"/>
          <w:sz w:val="32"/>
          <w:szCs w:val="32"/>
        </w:rPr>
        <w:t>万元，本年实际收入</w:t>
      </w:r>
      <w:r>
        <w:rPr>
          <w:rFonts w:ascii="Times New Roman" w:hAnsi="Times New Roman" w:eastAsia="仿宋"/>
          <w:sz w:val="32"/>
          <w:szCs w:val="32"/>
        </w:rPr>
        <w:t>17311.53</w:t>
      </w:r>
      <w:r>
        <w:rPr>
          <w:rFonts w:ascii="Times New Roman" w:hAnsi="仿宋" w:eastAsia="仿宋"/>
          <w:sz w:val="32"/>
          <w:szCs w:val="32"/>
        </w:rPr>
        <w:t>万元，本年实际支出</w:t>
      </w:r>
      <w:r>
        <w:rPr>
          <w:rFonts w:ascii="Times New Roman" w:hAnsi="Times New Roman" w:eastAsia="仿宋"/>
          <w:sz w:val="32"/>
          <w:szCs w:val="32"/>
        </w:rPr>
        <w:t>19417.93</w:t>
      </w:r>
      <w:r>
        <w:rPr>
          <w:rFonts w:ascii="Times New Roman" w:hAnsi="仿宋" w:eastAsia="仿宋"/>
          <w:sz w:val="32"/>
          <w:szCs w:val="32"/>
        </w:rPr>
        <w:t>万元，其中基本支出</w:t>
      </w:r>
      <w:r>
        <w:rPr>
          <w:rFonts w:ascii="Times New Roman" w:hAnsi="Times New Roman" w:eastAsia="仿宋"/>
          <w:sz w:val="32"/>
          <w:szCs w:val="32"/>
        </w:rPr>
        <w:t>873.60</w:t>
      </w:r>
      <w:r>
        <w:rPr>
          <w:rFonts w:ascii="Times New Roman" w:hAnsi="仿宋" w:eastAsia="仿宋"/>
          <w:sz w:val="32"/>
          <w:szCs w:val="32"/>
        </w:rPr>
        <w:t>万元，项目支出</w:t>
      </w:r>
      <w:r>
        <w:rPr>
          <w:rFonts w:ascii="Times New Roman" w:hAnsi="Times New Roman" w:eastAsia="仿宋"/>
          <w:sz w:val="32"/>
          <w:szCs w:val="32"/>
        </w:rPr>
        <w:t>18544.33</w:t>
      </w:r>
      <w:r>
        <w:rPr>
          <w:rFonts w:ascii="Times New Roman" w:hAnsi="仿宋" w:eastAsia="仿宋"/>
          <w:sz w:val="32"/>
          <w:szCs w:val="32"/>
        </w:rPr>
        <w:t>万元</w:t>
      </w:r>
      <w:r>
        <w:rPr>
          <w:rFonts w:ascii="Times New Roman" w:hAnsi="仿宋" w:eastAsia="仿宋"/>
          <w:bCs/>
          <w:sz w:val="32"/>
          <w:szCs w:val="32"/>
        </w:rPr>
        <w:t>。</w:t>
      </w:r>
      <w:r>
        <w:rPr>
          <w:rFonts w:ascii="Times New Roman" w:hAnsi="仿宋" w:eastAsia="仿宋"/>
          <w:sz w:val="32"/>
          <w:szCs w:val="32"/>
        </w:rPr>
        <w:t>其他收入</w:t>
      </w:r>
      <w:r>
        <w:rPr>
          <w:rFonts w:ascii="Times New Roman" w:hAnsi="Times New Roman" w:eastAsia="仿宋"/>
          <w:sz w:val="32"/>
          <w:szCs w:val="32"/>
        </w:rPr>
        <w:t>0.05</w:t>
      </w:r>
      <w:r>
        <w:rPr>
          <w:rFonts w:ascii="Times New Roman" w:hAnsi="仿宋" w:eastAsia="仿宋"/>
          <w:sz w:val="32"/>
          <w:szCs w:val="32"/>
        </w:rPr>
        <w:t>万元，上年结余</w:t>
      </w:r>
      <w:r>
        <w:rPr>
          <w:rFonts w:ascii="Times New Roman" w:hAnsi="Times New Roman" w:eastAsia="仿宋"/>
          <w:sz w:val="32"/>
          <w:szCs w:val="32"/>
        </w:rPr>
        <w:t>2106.40</w:t>
      </w:r>
      <w:r>
        <w:rPr>
          <w:rFonts w:ascii="Times New Roman" w:hAnsi="仿宋" w:eastAsia="仿宋"/>
          <w:sz w:val="32"/>
          <w:szCs w:val="32"/>
        </w:rPr>
        <w:t>万元，本年结余</w:t>
      </w:r>
      <w:r>
        <w:rPr>
          <w:rFonts w:ascii="Times New Roman" w:hAnsi="Times New Roman" w:eastAsia="仿宋"/>
          <w:sz w:val="32"/>
          <w:szCs w:val="32"/>
        </w:rPr>
        <w:t>0</w:t>
      </w:r>
      <w:r>
        <w:rPr>
          <w:rFonts w:ascii="Times New Roman" w:hAnsi="仿宋" w:eastAsia="仿宋"/>
          <w:sz w:val="32"/>
          <w:szCs w:val="32"/>
        </w:rPr>
        <w:t>万元。</w:t>
      </w:r>
    </w:p>
    <w:p>
      <w:pPr>
        <w:pStyle w:val="9"/>
        <w:spacing w:line="600" w:lineRule="exact"/>
        <w:ind w:firstLine="0" w:firstLineChars="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三、一般公共预算支出情况</w:t>
      </w:r>
    </w:p>
    <w:p>
      <w:pPr>
        <w:adjustRightInd w:val="0"/>
        <w:snapToGrid w:val="0"/>
        <w:spacing w:line="572" w:lineRule="exact"/>
        <w:ind w:firstLine="643" w:firstLineChars="200"/>
        <w:jc w:val="left"/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仿宋" w:eastAsia="仿宋"/>
          <w:b/>
          <w:sz w:val="32"/>
          <w:szCs w:val="32"/>
        </w:rPr>
        <w:t>（一）基本支出</w:t>
      </w:r>
    </w:p>
    <w:p>
      <w:pPr>
        <w:spacing w:line="572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基本支出主要包括用于基本工资、津贴补贴等人员经费以及办公费、邮电费、办公设备购置等日常公用经费。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本年部门决算基本支出</w:t>
      </w:r>
      <w:r>
        <w:rPr>
          <w:rFonts w:ascii="Times New Roman" w:hAnsi="Times New Roman" w:eastAsia="仿宋"/>
          <w:sz w:val="32"/>
          <w:szCs w:val="32"/>
        </w:rPr>
        <w:t>873.60</w:t>
      </w:r>
      <w:r>
        <w:rPr>
          <w:rFonts w:ascii="Times New Roman" w:hAnsi="仿宋" w:eastAsia="仿宋"/>
          <w:sz w:val="32"/>
          <w:szCs w:val="32"/>
        </w:rPr>
        <w:t>万元，其中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ascii="Times New Roman" w:hAnsi="仿宋" w:eastAsia="仿宋"/>
          <w:sz w:val="32"/>
          <w:szCs w:val="32"/>
        </w:rPr>
        <w:t>人员经费</w:t>
      </w:r>
      <w:r>
        <w:rPr>
          <w:rFonts w:ascii="Times New Roman" w:hAnsi="Times New Roman" w:eastAsia="仿宋"/>
          <w:sz w:val="32"/>
          <w:szCs w:val="32"/>
        </w:rPr>
        <w:t>828.28</w:t>
      </w:r>
      <w:r>
        <w:rPr>
          <w:rFonts w:ascii="Times New Roman" w:hAnsi="仿宋" w:eastAsia="仿宋"/>
          <w:sz w:val="32"/>
          <w:szCs w:val="32"/>
        </w:rPr>
        <w:t>万元，占基本支出</w:t>
      </w:r>
      <w:r>
        <w:rPr>
          <w:rFonts w:ascii="Times New Roman" w:hAnsi="Times New Roman" w:eastAsia="仿宋"/>
          <w:sz w:val="32"/>
          <w:szCs w:val="32"/>
        </w:rPr>
        <w:t>94.81%</w:t>
      </w:r>
      <w:r>
        <w:rPr>
          <w:rFonts w:ascii="Times New Roman" w:hAnsi="仿宋" w:eastAsia="仿宋"/>
          <w:sz w:val="32"/>
          <w:szCs w:val="32"/>
        </w:rPr>
        <w:t>，主要包括基本工资、津贴补贴、奖金、伙食补助费、养老保险和职业年金缴费、职工基本医疗保险、公务员医疗补助、住房公积金、其他工资福利支出和退休费、抚恤金、医疗费补助、其他对个人和家庭的补助支出</w:t>
      </w:r>
      <w:r>
        <w:rPr>
          <w:rFonts w:ascii="Times New Roman" w:hAnsi="Times New Roman" w:eastAsia="仿宋"/>
          <w:sz w:val="32"/>
          <w:szCs w:val="32"/>
        </w:rPr>
        <w:t>;</w:t>
      </w:r>
      <w:r>
        <w:rPr>
          <w:rFonts w:ascii="Times New Roman" w:hAnsi="仿宋" w:eastAsia="仿宋"/>
          <w:sz w:val="32"/>
          <w:szCs w:val="32"/>
        </w:rPr>
        <w:t>公用经费</w:t>
      </w:r>
      <w:r>
        <w:rPr>
          <w:rFonts w:ascii="Times New Roman" w:hAnsi="Times New Roman" w:eastAsia="仿宋"/>
          <w:sz w:val="32"/>
          <w:szCs w:val="32"/>
        </w:rPr>
        <w:t>45.32</w:t>
      </w:r>
      <w:r>
        <w:rPr>
          <w:rFonts w:ascii="Times New Roman" w:hAnsi="仿宋" w:eastAsia="仿宋"/>
          <w:sz w:val="32"/>
          <w:szCs w:val="32"/>
        </w:rPr>
        <w:t>万元，占基本支出</w:t>
      </w:r>
      <w:r>
        <w:rPr>
          <w:rFonts w:ascii="Times New Roman" w:hAnsi="Times New Roman" w:eastAsia="仿宋"/>
          <w:sz w:val="32"/>
          <w:szCs w:val="32"/>
        </w:rPr>
        <w:t>5.19%</w:t>
      </w:r>
      <w:r>
        <w:rPr>
          <w:rFonts w:ascii="Times New Roman" w:hAnsi="仿宋" w:eastAsia="仿宋"/>
          <w:sz w:val="32"/>
          <w:szCs w:val="32"/>
        </w:rPr>
        <w:t>，主要包括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ascii="Times New Roman" w:hAnsi="仿宋" w:eastAsia="仿宋"/>
          <w:sz w:val="32"/>
          <w:szCs w:val="32"/>
        </w:rPr>
        <w:t>办公费、印刷费、邮电费、差旅费、劳务费、委托业务费、工会经费、其他交通费用、其他商品和服务支出。</w:t>
      </w:r>
    </w:p>
    <w:p>
      <w:pPr>
        <w:ind w:firstLine="640" w:firstLineChars="200"/>
        <w:rPr>
          <w:rFonts w:ascii="Times New Roman" w:hAnsi="Times New Roman" w:eastAsia="仿宋"/>
        </w:rPr>
      </w:pPr>
      <w:r>
        <w:rPr>
          <w:rFonts w:ascii="Times New Roman" w:hAnsi="仿宋" w:eastAsia="仿宋"/>
          <w:sz w:val="32"/>
          <w:szCs w:val="32"/>
        </w:rPr>
        <w:t>我单位认真贯彻落实中央八项规定，执行作风建设相关规定，</w:t>
      </w:r>
      <w:r>
        <w:rPr>
          <w:rFonts w:hint="eastAsia" w:ascii="Times New Roman" w:hAnsi="仿宋" w:eastAsia="仿宋"/>
          <w:sz w:val="32"/>
          <w:szCs w:val="32"/>
        </w:rPr>
        <w:t>厉行节约</w:t>
      </w:r>
      <w:bookmarkStart w:id="0" w:name="_GoBack"/>
      <w:bookmarkEnd w:id="0"/>
      <w:r>
        <w:rPr>
          <w:rFonts w:ascii="Times New Roman" w:hAnsi="仿宋" w:eastAsia="仿宋"/>
          <w:sz w:val="32"/>
          <w:szCs w:val="32"/>
        </w:rPr>
        <w:t>，本年无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ascii="Times New Roman" w:hAnsi="仿宋" w:eastAsia="仿宋"/>
          <w:sz w:val="32"/>
          <w:szCs w:val="32"/>
        </w:rPr>
        <w:t>三公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ascii="Times New Roman" w:hAnsi="仿宋" w:eastAsia="仿宋"/>
          <w:sz w:val="32"/>
          <w:szCs w:val="32"/>
        </w:rPr>
        <w:t>经费决算支出。其中：因公出国（境）费支出决算与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ascii="Times New Roman" w:hAnsi="仿宋" w:eastAsia="仿宋"/>
          <w:sz w:val="32"/>
          <w:szCs w:val="32"/>
        </w:rPr>
        <w:t>年持平；公务用车购置及运行费支出决算比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ascii="Times New Roman" w:hAnsi="仿宋" w:eastAsia="仿宋"/>
          <w:sz w:val="32"/>
          <w:szCs w:val="32"/>
        </w:rPr>
        <w:t>年增长</w:t>
      </w:r>
      <w:r>
        <w:rPr>
          <w:rFonts w:ascii="Times New Roman" w:hAnsi="Times New Roman" w:eastAsia="仿宋"/>
          <w:sz w:val="32"/>
          <w:szCs w:val="32"/>
        </w:rPr>
        <w:t>0%</w:t>
      </w:r>
      <w:r>
        <w:rPr>
          <w:rFonts w:ascii="Times New Roman" w:hAnsi="仿宋" w:eastAsia="仿宋"/>
          <w:sz w:val="32"/>
          <w:szCs w:val="32"/>
        </w:rPr>
        <w:t>；公务接待费支出决算比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ascii="Times New Roman" w:hAnsi="仿宋" w:eastAsia="仿宋"/>
          <w:sz w:val="32"/>
          <w:szCs w:val="32"/>
        </w:rPr>
        <w:t>年减少</w:t>
      </w:r>
      <w:r>
        <w:rPr>
          <w:rFonts w:ascii="Times New Roman" w:hAnsi="Times New Roman" w:eastAsia="仿宋"/>
          <w:sz w:val="32"/>
          <w:szCs w:val="32"/>
        </w:rPr>
        <w:t>0</w:t>
      </w:r>
      <w:r>
        <w:rPr>
          <w:rFonts w:ascii="Times New Roman" w:hAnsi="仿宋" w:eastAsia="仿宋"/>
          <w:sz w:val="32"/>
          <w:szCs w:val="32"/>
        </w:rPr>
        <w:t>万元，下降</w:t>
      </w:r>
      <w:r>
        <w:rPr>
          <w:rFonts w:ascii="Times New Roman" w:hAnsi="Times New Roman" w:eastAsia="仿宋"/>
          <w:sz w:val="32"/>
          <w:szCs w:val="32"/>
        </w:rPr>
        <w:t>100.00%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仿宋"/>
          <w:b/>
          <w:bCs/>
          <w:sz w:val="32"/>
          <w:szCs w:val="32"/>
        </w:rPr>
      </w:pPr>
      <w:r>
        <w:rPr>
          <w:rFonts w:ascii="Times New Roman" w:hAnsi="仿宋" w:eastAsia="仿宋"/>
          <w:b/>
          <w:bCs/>
          <w:sz w:val="32"/>
          <w:szCs w:val="32"/>
        </w:rPr>
        <w:t>（二）项目支出</w:t>
      </w:r>
    </w:p>
    <w:p>
      <w:pPr>
        <w:ind w:firstLine="480" w:firstLineChars="150"/>
        <w:rPr>
          <w:rFonts w:ascii="Times New Roman" w:hAnsi="Times New Roman" w:eastAsia="仿宋"/>
        </w:rPr>
      </w:pPr>
      <w:r>
        <w:rPr>
          <w:rFonts w:ascii="Times New Roman" w:hAnsi="仿宋" w:eastAsia="仿宋"/>
          <w:sz w:val="32"/>
          <w:szCs w:val="32"/>
        </w:rPr>
        <w:t>本年部门决算项目支出</w:t>
      </w:r>
      <w:r>
        <w:rPr>
          <w:rFonts w:ascii="Times New Roman" w:hAnsi="Times New Roman" w:eastAsia="仿宋"/>
          <w:sz w:val="32"/>
          <w:szCs w:val="32"/>
        </w:rPr>
        <w:t>18544.33</w:t>
      </w:r>
      <w:r>
        <w:rPr>
          <w:rFonts w:ascii="Times New Roman" w:hAnsi="仿宋" w:eastAsia="仿宋"/>
          <w:sz w:val="32"/>
          <w:szCs w:val="32"/>
        </w:rPr>
        <w:t>万元，主要为区纪委派驻纪检组专项工作经费</w:t>
      </w:r>
      <w:r>
        <w:rPr>
          <w:rFonts w:ascii="Times New Roman" w:hAnsi="Times New Roman" w:eastAsia="仿宋"/>
          <w:sz w:val="32"/>
          <w:szCs w:val="32"/>
        </w:rPr>
        <w:t xml:space="preserve">3.90 </w:t>
      </w:r>
      <w:r>
        <w:rPr>
          <w:rFonts w:ascii="Times New Roman" w:hAnsi="仿宋" w:eastAsia="仿宋"/>
          <w:sz w:val="32"/>
          <w:szCs w:val="32"/>
        </w:rPr>
        <w:t>万元，占项目支出</w:t>
      </w:r>
      <w:r>
        <w:rPr>
          <w:rFonts w:ascii="Times New Roman" w:hAnsi="Times New Roman" w:eastAsia="仿宋"/>
          <w:sz w:val="32"/>
          <w:szCs w:val="32"/>
        </w:rPr>
        <w:t>0.02%</w:t>
      </w:r>
      <w:r>
        <w:rPr>
          <w:rFonts w:ascii="Times New Roman" w:hAnsi="仿宋" w:eastAsia="仿宋"/>
          <w:sz w:val="32"/>
          <w:szCs w:val="32"/>
        </w:rPr>
        <w:t>；市下拨环境空气质量奖励资金</w:t>
      </w:r>
      <w:r>
        <w:rPr>
          <w:rFonts w:ascii="Times New Roman" w:hAnsi="Times New Roman" w:eastAsia="仿宋"/>
          <w:sz w:val="32"/>
          <w:szCs w:val="32"/>
        </w:rPr>
        <w:t>70.6</w:t>
      </w:r>
      <w:r>
        <w:rPr>
          <w:rFonts w:ascii="Times New Roman" w:hAnsi="仿宋" w:eastAsia="仿宋"/>
          <w:sz w:val="32"/>
          <w:szCs w:val="32"/>
        </w:rPr>
        <w:t>万元，占项目支出</w:t>
      </w:r>
      <w:r>
        <w:rPr>
          <w:rFonts w:ascii="Times New Roman" w:hAnsi="Times New Roman" w:eastAsia="仿宋"/>
          <w:sz w:val="32"/>
          <w:szCs w:val="32"/>
        </w:rPr>
        <w:t>0.38%</w:t>
      </w:r>
      <w:r>
        <w:rPr>
          <w:rFonts w:ascii="Times New Roman" w:hAnsi="仿宋" w:eastAsia="仿宋"/>
          <w:sz w:val="32"/>
          <w:szCs w:val="32"/>
        </w:rPr>
        <w:t>；空气质量第三方服务保障、油烟、涉挥发性有机物在线监测</w:t>
      </w:r>
      <w:r>
        <w:rPr>
          <w:rFonts w:ascii="Times New Roman" w:hAnsi="Times New Roman" w:eastAsia="仿宋"/>
          <w:sz w:val="32"/>
          <w:szCs w:val="32"/>
        </w:rPr>
        <w:t>226.31</w:t>
      </w:r>
      <w:r>
        <w:rPr>
          <w:rFonts w:ascii="Times New Roman" w:hAnsi="仿宋" w:eastAsia="仿宋"/>
          <w:sz w:val="32"/>
          <w:szCs w:val="32"/>
        </w:rPr>
        <w:t>万元</w:t>
      </w:r>
      <w:r>
        <w:rPr>
          <w:rFonts w:ascii="Times New Roman" w:hAnsi="Times New Roman" w:eastAsia="仿宋"/>
          <w:sz w:val="32"/>
          <w:szCs w:val="32"/>
        </w:rPr>
        <w:t>,</w:t>
      </w:r>
      <w:r>
        <w:rPr>
          <w:rFonts w:ascii="Times New Roman" w:hAnsi="仿宋" w:eastAsia="仿宋"/>
          <w:sz w:val="32"/>
          <w:szCs w:val="32"/>
        </w:rPr>
        <w:t>占项目支出的</w:t>
      </w:r>
      <w:r>
        <w:rPr>
          <w:rFonts w:ascii="Times New Roman" w:hAnsi="Times New Roman" w:eastAsia="仿宋"/>
          <w:sz w:val="32"/>
          <w:szCs w:val="32"/>
        </w:rPr>
        <w:t>1.22%;</w:t>
      </w:r>
      <w:r>
        <w:rPr>
          <w:rFonts w:ascii="Times New Roman" w:hAnsi="仿宋" w:eastAsia="仿宋"/>
          <w:sz w:val="32"/>
          <w:szCs w:val="32"/>
        </w:rPr>
        <w:t>牛皮癣和向阳湖清理维护、数字化平台维护经费、网格化信息采集、精彩生活超市电梯维护及工程项目人员经费</w:t>
      </w:r>
      <w:r>
        <w:rPr>
          <w:rFonts w:ascii="Times New Roman" w:hAnsi="Times New Roman" w:eastAsia="仿宋"/>
          <w:sz w:val="32"/>
          <w:szCs w:val="32"/>
        </w:rPr>
        <w:t>237.29</w:t>
      </w:r>
      <w:r>
        <w:rPr>
          <w:rFonts w:ascii="Times New Roman" w:hAnsi="仿宋" w:eastAsia="仿宋"/>
          <w:sz w:val="32"/>
          <w:szCs w:val="32"/>
        </w:rPr>
        <w:t>万元，占项目支出的</w:t>
      </w:r>
      <w:r>
        <w:rPr>
          <w:rFonts w:ascii="Times New Roman" w:hAnsi="Times New Roman" w:eastAsia="仿宋"/>
          <w:sz w:val="32"/>
          <w:szCs w:val="32"/>
        </w:rPr>
        <w:t>1.28%</w:t>
      </w:r>
      <w:r>
        <w:rPr>
          <w:rFonts w:ascii="Times New Roman" w:hAnsi="仿宋" w:eastAsia="仿宋"/>
          <w:sz w:val="32"/>
          <w:szCs w:val="32"/>
        </w:rPr>
        <w:t>；蓝天保卫战工作专项经费</w:t>
      </w:r>
      <w:r>
        <w:rPr>
          <w:rFonts w:ascii="Times New Roman" w:hAnsi="Times New Roman" w:eastAsia="仿宋"/>
          <w:sz w:val="32"/>
          <w:szCs w:val="32"/>
        </w:rPr>
        <w:t>23.79</w:t>
      </w:r>
      <w:r>
        <w:rPr>
          <w:rFonts w:ascii="Times New Roman" w:hAnsi="仿宋" w:eastAsia="仿宋"/>
          <w:sz w:val="32"/>
          <w:szCs w:val="32"/>
        </w:rPr>
        <w:t>万元，占项目支出的</w:t>
      </w:r>
      <w:r>
        <w:rPr>
          <w:rFonts w:ascii="Times New Roman" w:hAnsi="Times New Roman" w:eastAsia="仿宋"/>
          <w:sz w:val="32"/>
          <w:szCs w:val="32"/>
        </w:rPr>
        <w:t>0.13%</w:t>
      </w:r>
      <w:r>
        <w:rPr>
          <w:rFonts w:ascii="Times New Roman" w:hAnsi="仿宋" w:eastAsia="仿宋"/>
          <w:sz w:val="32"/>
          <w:szCs w:val="32"/>
        </w:rPr>
        <w:t>；数字化指挥中心改造项目</w:t>
      </w:r>
      <w:r>
        <w:rPr>
          <w:rFonts w:ascii="Times New Roman" w:hAnsi="Times New Roman" w:eastAsia="仿宋"/>
          <w:sz w:val="32"/>
          <w:szCs w:val="32"/>
        </w:rPr>
        <w:t>12.40</w:t>
      </w:r>
      <w:r>
        <w:rPr>
          <w:rFonts w:ascii="Times New Roman" w:hAnsi="仿宋" w:eastAsia="仿宋"/>
          <w:sz w:val="32"/>
          <w:szCs w:val="32"/>
        </w:rPr>
        <w:t>万元，占项目支出</w:t>
      </w:r>
      <w:r>
        <w:rPr>
          <w:rFonts w:ascii="Times New Roman" w:hAnsi="Times New Roman" w:eastAsia="仿宋"/>
          <w:sz w:val="32"/>
          <w:szCs w:val="32"/>
        </w:rPr>
        <w:t>0.07%</w:t>
      </w:r>
      <w:r>
        <w:rPr>
          <w:rFonts w:ascii="Times New Roman" w:hAnsi="仿宋" w:eastAsia="仿宋"/>
          <w:sz w:val="32"/>
          <w:szCs w:val="32"/>
        </w:rPr>
        <w:t>；城市管理工作考核奖励经费</w:t>
      </w:r>
      <w:r>
        <w:rPr>
          <w:rFonts w:hint="eastAsia" w:ascii="Times New Roman" w:hAnsi="仿宋" w:eastAsia="仿宋"/>
          <w:sz w:val="32"/>
          <w:szCs w:val="32"/>
        </w:rPr>
        <w:t>、</w:t>
      </w:r>
      <w:r>
        <w:rPr>
          <w:rFonts w:ascii="Times New Roman" w:hAnsi="仿宋" w:eastAsia="仿宋"/>
          <w:sz w:val="32"/>
          <w:szCs w:val="32"/>
        </w:rPr>
        <w:t>城乡治理补助资金</w:t>
      </w:r>
      <w:r>
        <w:rPr>
          <w:rFonts w:hint="eastAsia" w:ascii="Times New Roman" w:hAnsi="Times New Roman" w:eastAsia="仿宋"/>
          <w:sz w:val="32"/>
          <w:szCs w:val="32"/>
        </w:rPr>
        <w:t>、</w:t>
      </w:r>
      <w:r>
        <w:rPr>
          <w:rFonts w:ascii="Times New Roman" w:hAnsi="仿宋" w:eastAsia="仿宋"/>
          <w:sz w:val="32"/>
          <w:szCs w:val="32"/>
        </w:rPr>
        <w:t>景观亮化、农安老旧社区、火车站东西广场提质改造、</w:t>
      </w:r>
      <w:r>
        <w:rPr>
          <w:rFonts w:ascii="Times New Roman" w:hAnsi="Times New Roman" w:eastAsia="仿宋"/>
          <w:sz w:val="32"/>
          <w:szCs w:val="32"/>
        </w:rPr>
        <w:t>PPP</w:t>
      </w:r>
      <w:r>
        <w:rPr>
          <w:rFonts w:ascii="Times New Roman" w:hAnsi="仿宋" w:eastAsia="仿宋"/>
          <w:sz w:val="32"/>
          <w:szCs w:val="32"/>
        </w:rPr>
        <w:t>项目、交通问题顽瘴</w:t>
      </w:r>
      <w:r>
        <w:rPr>
          <w:rFonts w:hint="eastAsia" w:ascii="Times New Roman" w:hAnsi="仿宋" w:eastAsia="仿宋"/>
          <w:sz w:val="32"/>
          <w:szCs w:val="32"/>
        </w:rPr>
        <w:t>痼疾</w:t>
      </w:r>
      <w:r>
        <w:rPr>
          <w:rFonts w:ascii="Times New Roman" w:hAnsi="仿宋" w:eastAsia="仿宋"/>
          <w:sz w:val="32"/>
          <w:szCs w:val="32"/>
        </w:rPr>
        <w:t>集中整治行动工作经费等工程款</w:t>
      </w:r>
      <w:r>
        <w:rPr>
          <w:rFonts w:ascii="Times New Roman" w:hAnsi="Times New Roman" w:eastAsia="仿宋"/>
          <w:sz w:val="32"/>
          <w:szCs w:val="32"/>
        </w:rPr>
        <w:t>15852.04</w:t>
      </w:r>
      <w:r>
        <w:rPr>
          <w:rFonts w:ascii="Times New Roman" w:hAnsi="仿宋" w:eastAsia="仿宋"/>
          <w:sz w:val="32"/>
          <w:szCs w:val="32"/>
        </w:rPr>
        <w:t>万元，占项目支出</w:t>
      </w:r>
      <w:r>
        <w:rPr>
          <w:rFonts w:ascii="Times New Roman" w:hAnsi="Times New Roman" w:eastAsia="仿宋"/>
          <w:sz w:val="32"/>
          <w:szCs w:val="32"/>
        </w:rPr>
        <w:t>85.48%</w:t>
      </w:r>
      <w:r>
        <w:rPr>
          <w:rFonts w:ascii="Times New Roman" w:hAnsi="仿宋" w:eastAsia="仿宋"/>
          <w:sz w:val="32"/>
          <w:szCs w:val="32"/>
        </w:rPr>
        <w:t>；保障性安居工程专项资金</w:t>
      </w:r>
      <w:r>
        <w:rPr>
          <w:rFonts w:ascii="Times New Roman" w:hAnsi="Times New Roman" w:eastAsia="仿宋"/>
          <w:sz w:val="32"/>
          <w:szCs w:val="32"/>
        </w:rPr>
        <w:t>225.15</w:t>
      </w:r>
      <w:r>
        <w:rPr>
          <w:rFonts w:ascii="Times New Roman" w:hAnsi="仿宋" w:eastAsia="仿宋"/>
          <w:sz w:val="32"/>
          <w:szCs w:val="32"/>
        </w:rPr>
        <w:t>万元，占项目支出</w:t>
      </w:r>
      <w:r>
        <w:rPr>
          <w:rFonts w:ascii="Times New Roman" w:hAnsi="Times New Roman" w:eastAsia="仿宋"/>
          <w:sz w:val="32"/>
          <w:szCs w:val="32"/>
        </w:rPr>
        <w:t>1.21%</w:t>
      </w:r>
      <w:r>
        <w:rPr>
          <w:rFonts w:hint="eastAsia" w:ascii="Times New Roman" w:hAnsi="Times New Roman" w:eastAsia="仿宋"/>
          <w:sz w:val="32"/>
          <w:szCs w:val="32"/>
        </w:rPr>
        <w:t>；</w:t>
      </w:r>
      <w:r>
        <w:rPr>
          <w:rFonts w:ascii="Times New Roman" w:hAnsi="仿宋" w:eastAsia="仿宋"/>
          <w:sz w:val="32"/>
          <w:szCs w:val="32"/>
        </w:rPr>
        <w:t>市下拨</w:t>
      </w:r>
      <w:r>
        <w:rPr>
          <w:rFonts w:ascii="Times New Roman" w:hAnsi="Times New Roman" w:eastAsia="仿宋"/>
          <w:sz w:val="32"/>
          <w:szCs w:val="32"/>
        </w:rPr>
        <w:t>2020</w:t>
      </w:r>
      <w:r>
        <w:rPr>
          <w:rFonts w:ascii="Times New Roman" w:hAnsi="仿宋" w:eastAsia="仿宋"/>
          <w:sz w:val="32"/>
          <w:szCs w:val="32"/>
        </w:rPr>
        <w:t>年度市级大气（噪音）污染防治专项资金、退休死亡人员养老金调待补发结算支出</w:t>
      </w:r>
      <w:r>
        <w:rPr>
          <w:rFonts w:ascii="Times New Roman" w:hAnsi="Times New Roman" w:eastAsia="仿宋"/>
          <w:sz w:val="32"/>
          <w:szCs w:val="32"/>
        </w:rPr>
        <w:t>30.05</w:t>
      </w:r>
      <w:r>
        <w:rPr>
          <w:rFonts w:ascii="Times New Roman" w:hAnsi="仿宋" w:eastAsia="仿宋"/>
          <w:sz w:val="32"/>
          <w:szCs w:val="32"/>
        </w:rPr>
        <w:t>万元，占项目支出</w:t>
      </w:r>
      <w:r>
        <w:rPr>
          <w:rFonts w:ascii="Times New Roman" w:hAnsi="Times New Roman" w:eastAsia="仿宋"/>
          <w:sz w:val="32"/>
          <w:szCs w:val="32"/>
        </w:rPr>
        <w:t>0.16%</w:t>
      </w:r>
      <w:r>
        <w:rPr>
          <w:rFonts w:ascii="Times New Roman" w:hAnsi="仿宋" w:eastAsia="仿宋"/>
          <w:sz w:val="32"/>
          <w:szCs w:val="32"/>
        </w:rPr>
        <w:t>；交警队劝导员、协警工资、保险、绩效奖励、安全生产季度测评奖及日常工作经费</w:t>
      </w:r>
      <w:r>
        <w:rPr>
          <w:rFonts w:ascii="Times New Roman" w:hAnsi="Times New Roman" w:eastAsia="仿宋"/>
          <w:sz w:val="32"/>
          <w:szCs w:val="32"/>
        </w:rPr>
        <w:t>1862.80</w:t>
      </w:r>
      <w:r>
        <w:rPr>
          <w:rFonts w:ascii="Times New Roman" w:hAnsi="仿宋" w:eastAsia="仿宋"/>
          <w:sz w:val="32"/>
          <w:szCs w:val="32"/>
        </w:rPr>
        <w:t>万元，占项目支出</w:t>
      </w:r>
      <w:r>
        <w:rPr>
          <w:rFonts w:ascii="Times New Roman" w:hAnsi="Times New Roman" w:eastAsia="仿宋"/>
          <w:sz w:val="32"/>
          <w:szCs w:val="32"/>
        </w:rPr>
        <w:t>10.05%</w:t>
      </w:r>
      <w:r>
        <w:rPr>
          <w:rFonts w:ascii="Times New Roman" w:hAnsi="仿宋" w:eastAsia="仿宋"/>
          <w:sz w:val="32"/>
          <w:szCs w:val="32"/>
        </w:rPr>
        <w:t>。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黑体" w:eastAsia="黑体"/>
          <w:b/>
          <w:sz w:val="32"/>
          <w:szCs w:val="32"/>
        </w:rPr>
        <w:t>四、部门项目组织实施情况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我单位严格遵照相关支付制度、经费管理办法来管理、使用财政资金，政府采购按照政府采购管理办法组织实施。对已具备验收条件的项目，及时组织验收、移交使用。同时加强对资金的监督管理，采取事前、事中、事后相结合、日常监督和专项监督相结合的方式，对资金使用行为实施全过程监督管理。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600" w:lineRule="exact"/>
        <w:ind w:firstLine="643" w:firstLineChars="200"/>
        <w:jc w:val="left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黑体" w:eastAsia="黑体"/>
          <w:b/>
          <w:sz w:val="32"/>
          <w:szCs w:val="32"/>
        </w:rPr>
        <w:t>五、资产管理情况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本单位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年末固定资产原值</w:t>
      </w:r>
      <w:r>
        <w:rPr>
          <w:rFonts w:ascii="Times New Roman" w:hAnsi="Times New Roman" w:eastAsia="仿宋"/>
          <w:sz w:val="32"/>
          <w:szCs w:val="32"/>
        </w:rPr>
        <w:t>262.14</w:t>
      </w:r>
      <w:r>
        <w:rPr>
          <w:rFonts w:ascii="Times New Roman" w:hAnsi="仿宋" w:eastAsia="仿宋"/>
          <w:sz w:val="32"/>
          <w:szCs w:val="32"/>
        </w:rPr>
        <w:t>万元，其中通用设备原值</w:t>
      </w:r>
      <w:r>
        <w:rPr>
          <w:rFonts w:ascii="Times New Roman" w:hAnsi="Times New Roman" w:eastAsia="仿宋"/>
          <w:sz w:val="32"/>
          <w:szCs w:val="32"/>
        </w:rPr>
        <w:t>240.39</w:t>
      </w:r>
      <w:r>
        <w:rPr>
          <w:rFonts w:ascii="Times New Roman" w:hAnsi="仿宋" w:eastAsia="仿宋"/>
          <w:sz w:val="32"/>
          <w:szCs w:val="32"/>
        </w:rPr>
        <w:t>万元；家具、用具、装具及动植物原值</w:t>
      </w:r>
      <w:r>
        <w:rPr>
          <w:rFonts w:ascii="Times New Roman" w:hAnsi="Times New Roman" w:eastAsia="仿宋"/>
          <w:sz w:val="32"/>
          <w:szCs w:val="32"/>
        </w:rPr>
        <w:t>21.75</w:t>
      </w:r>
      <w:r>
        <w:rPr>
          <w:rFonts w:ascii="Times New Roman" w:hAnsi="仿宋" w:eastAsia="仿宋"/>
          <w:sz w:val="32"/>
          <w:szCs w:val="32"/>
        </w:rPr>
        <w:t>万元；固定资产累计折旧</w:t>
      </w:r>
      <w:r>
        <w:rPr>
          <w:rFonts w:ascii="Times New Roman" w:hAnsi="Times New Roman" w:eastAsia="仿宋"/>
          <w:sz w:val="32"/>
          <w:szCs w:val="32"/>
        </w:rPr>
        <w:t>196.86</w:t>
      </w:r>
      <w:r>
        <w:rPr>
          <w:rFonts w:ascii="Times New Roman" w:hAnsi="仿宋" w:eastAsia="仿宋"/>
          <w:sz w:val="32"/>
          <w:szCs w:val="32"/>
        </w:rPr>
        <w:t>万元，其中通用设备累计折旧</w:t>
      </w:r>
      <w:r>
        <w:rPr>
          <w:rFonts w:ascii="Times New Roman" w:hAnsi="Times New Roman" w:eastAsia="仿宋"/>
          <w:sz w:val="32"/>
          <w:szCs w:val="32"/>
        </w:rPr>
        <w:t>180.28</w:t>
      </w:r>
      <w:r>
        <w:rPr>
          <w:rFonts w:ascii="Times New Roman" w:hAnsi="仿宋" w:eastAsia="仿宋"/>
          <w:sz w:val="32"/>
          <w:szCs w:val="32"/>
        </w:rPr>
        <w:t>万元、家具、用具、装具及动植物累计折旧</w:t>
      </w:r>
      <w:r>
        <w:rPr>
          <w:rFonts w:ascii="Times New Roman" w:hAnsi="Times New Roman" w:eastAsia="仿宋"/>
          <w:sz w:val="32"/>
          <w:szCs w:val="32"/>
        </w:rPr>
        <w:t>16.58</w:t>
      </w:r>
      <w:r>
        <w:rPr>
          <w:rFonts w:ascii="Times New Roman" w:hAnsi="仿宋" w:eastAsia="仿宋"/>
          <w:sz w:val="32"/>
          <w:szCs w:val="32"/>
        </w:rPr>
        <w:t>万元。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年购置资产</w:t>
      </w:r>
      <w:r>
        <w:rPr>
          <w:rFonts w:ascii="Times New Roman" w:hAnsi="Times New Roman" w:eastAsia="仿宋"/>
          <w:sz w:val="32"/>
          <w:szCs w:val="32"/>
        </w:rPr>
        <w:t>2.04</w:t>
      </w:r>
      <w:r>
        <w:rPr>
          <w:rFonts w:ascii="Times New Roman" w:hAnsi="仿宋" w:eastAsia="仿宋"/>
          <w:sz w:val="32"/>
          <w:szCs w:val="32"/>
        </w:rPr>
        <w:t>万元，报废</w:t>
      </w:r>
      <w:r>
        <w:rPr>
          <w:rFonts w:ascii="Times New Roman" w:hAnsi="Times New Roman" w:eastAsia="仿宋"/>
          <w:sz w:val="32"/>
          <w:szCs w:val="32"/>
        </w:rPr>
        <w:t>2.66</w:t>
      </w:r>
      <w:r>
        <w:rPr>
          <w:rFonts w:ascii="Times New Roman" w:hAnsi="仿宋" w:eastAsia="仿宋"/>
          <w:sz w:val="32"/>
          <w:szCs w:val="32"/>
        </w:rPr>
        <w:t>万元。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"/>
        </w:rPr>
      </w:pPr>
      <w:r>
        <w:rPr>
          <w:rFonts w:ascii="Times New Roman" w:hAnsi="仿宋" w:eastAsia="仿宋"/>
          <w:sz w:val="32"/>
          <w:szCs w:val="32"/>
        </w:rPr>
        <w:t>办公室设立资产专管员，负责资产管理，包括资产的采购、验收、登记、领用、维修保养及处置等日常管理。对纳入政府采购范围的资产，依法履行政府采购规定程序，对购入的固定资产要进行验收，填写固定资产验收单，明确使用科室和使用人</w:t>
      </w:r>
      <w:r>
        <w:rPr>
          <w:rFonts w:ascii="Times New Roman" w:hAnsi="Times New Roman" w:eastAsia="仿宋"/>
          <w:sz w:val="32"/>
          <w:szCs w:val="32"/>
        </w:rPr>
        <w:t>;</w:t>
      </w:r>
      <w:r>
        <w:rPr>
          <w:rFonts w:ascii="Times New Roman" w:hAnsi="仿宋" w:eastAsia="仿宋"/>
          <w:sz w:val="32"/>
          <w:szCs w:val="32"/>
        </w:rPr>
        <w:t>专管员登记固定资产账卡，及时告知会计进行账务处理</w:t>
      </w:r>
      <w:r>
        <w:rPr>
          <w:rFonts w:ascii="Times New Roman" w:hAnsi="Times New Roman" w:eastAsia="仿宋"/>
          <w:sz w:val="32"/>
          <w:szCs w:val="32"/>
        </w:rPr>
        <w:t>;</w:t>
      </w:r>
      <w:r>
        <w:rPr>
          <w:rFonts w:ascii="Times New Roman" w:hAnsi="仿宋" w:eastAsia="仿宋"/>
          <w:sz w:val="32"/>
          <w:szCs w:val="32"/>
        </w:rPr>
        <w:t>定期对固定资产进行账实核对，做到账账相符、账物相符、账卡相符。</w:t>
      </w:r>
    </w:p>
    <w:p>
      <w:pPr>
        <w:pStyle w:val="9"/>
        <w:spacing w:line="600" w:lineRule="exact"/>
        <w:ind w:firstLine="643"/>
        <w:rPr>
          <w:rFonts w:ascii="Times New Roman" w:hAnsi="黑体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六、政府性基金预算支出情况</w:t>
      </w:r>
    </w:p>
    <w:p>
      <w:pPr>
        <w:pStyle w:val="9"/>
        <w:spacing w:line="600" w:lineRule="exact"/>
        <w:ind w:firstLine="64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无政府性基金预算支出</w:t>
      </w:r>
    </w:p>
    <w:p>
      <w:pPr>
        <w:pStyle w:val="9"/>
        <w:spacing w:line="600" w:lineRule="exact"/>
        <w:ind w:firstLine="643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七、国有资本经营预算支出情况</w:t>
      </w:r>
    </w:p>
    <w:p>
      <w:pPr>
        <w:pStyle w:val="9"/>
        <w:spacing w:line="600" w:lineRule="exact"/>
        <w:ind w:left="420" w:leftChars="200" w:firstLine="0" w:firstLineChars="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</w:t>
      </w:r>
      <w:r>
        <w:rPr>
          <w:rFonts w:ascii="Times New Roman" w:hAnsi="仿宋" w:eastAsia="仿宋"/>
          <w:sz w:val="32"/>
          <w:szCs w:val="32"/>
        </w:rPr>
        <w:t>无国有资本经营预算支出</w:t>
      </w:r>
    </w:p>
    <w:p>
      <w:pPr>
        <w:pStyle w:val="9"/>
        <w:spacing w:line="600" w:lineRule="exact"/>
        <w:ind w:firstLine="643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八、社会保险基金预算支出情况</w:t>
      </w:r>
    </w:p>
    <w:p>
      <w:pPr>
        <w:pStyle w:val="9"/>
        <w:spacing w:line="600" w:lineRule="exact"/>
        <w:ind w:firstLine="1280" w:firstLineChars="4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无社会保险基金预算支出</w:t>
      </w:r>
    </w:p>
    <w:p>
      <w:pPr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九、部门整体支出绩效情况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b/>
          <w:bCs/>
          <w:kern w:val="0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本单位</w:t>
      </w: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年本部门整体支出绩效目标</w:t>
      </w:r>
      <w:r>
        <w:rPr>
          <w:rFonts w:ascii="Times New Roman" w:hAnsi="Times New Roman" w:eastAsia="仿宋"/>
          <w:sz w:val="32"/>
          <w:szCs w:val="32"/>
        </w:rPr>
        <w:t>4179.71</w:t>
      </w:r>
      <w:r>
        <w:rPr>
          <w:rFonts w:ascii="Times New Roman" w:hAnsi="仿宋" w:eastAsia="仿宋"/>
          <w:sz w:val="32"/>
          <w:szCs w:val="32"/>
        </w:rPr>
        <w:t>万元。其中</w:t>
      </w:r>
      <w:r>
        <w:rPr>
          <w:rFonts w:ascii="Times New Roman" w:hAnsi="Times New Roman" w:eastAsia="仿宋"/>
          <w:sz w:val="32"/>
          <w:szCs w:val="32"/>
        </w:rPr>
        <w:t>:</w:t>
      </w:r>
      <w:r>
        <w:rPr>
          <w:rFonts w:ascii="Times New Roman" w:hAnsi="仿宋" w:eastAsia="仿宋"/>
          <w:sz w:val="32"/>
          <w:szCs w:val="32"/>
        </w:rPr>
        <w:t>部门项目支出绩效目标申报</w:t>
      </w:r>
      <w:r>
        <w:rPr>
          <w:rFonts w:ascii="Times New Roman" w:hAnsi="Times New Roman" w:eastAsia="仿宋"/>
          <w:sz w:val="32"/>
          <w:szCs w:val="32"/>
        </w:rPr>
        <w:t>19</w:t>
      </w:r>
      <w:r>
        <w:rPr>
          <w:rFonts w:ascii="Times New Roman" w:hAnsi="仿宋" w:eastAsia="仿宋"/>
          <w:sz w:val="32"/>
          <w:szCs w:val="32"/>
        </w:rPr>
        <w:t>个，项目资金</w:t>
      </w:r>
      <w:r>
        <w:rPr>
          <w:rFonts w:ascii="Times New Roman" w:hAnsi="Times New Roman" w:eastAsia="仿宋"/>
          <w:sz w:val="32"/>
          <w:szCs w:val="32"/>
        </w:rPr>
        <w:t>3294.76</w:t>
      </w:r>
      <w:r>
        <w:rPr>
          <w:rFonts w:ascii="Times New Roman" w:hAnsi="仿宋" w:eastAsia="仿宋"/>
          <w:sz w:val="32"/>
          <w:szCs w:val="32"/>
        </w:rPr>
        <w:t>万元。本单位对部门整体支出及各个项目支出开展绩效自评，根据绩效评价结果显示，本单位及时完成了各项工作，较好地履行了部门职能，合理安排支出，资金使用情况较好。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2021</w:t>
      </w:r>
      <w:r>
        <w:rPr>
          <w:rFonts w:ascii="Times New Roman" w:hAnsi="仿宋" w:eastAsia="仿宋"/>
          <w:sz w:val="32"/>
          <w:szCs w:val="32"/>
        </w:rPr>
        <w:t>年，区城市管理局对全区城市系统进行管理、规划；指导辖区单位开展城市品质</w:t>
      </w:r>
      <w:r>
        <w:rPr>
          <w:rFonts w:ascii="Times New Roman" w:hAnsi="Times New Roman" w:eastAsia="仿宋"/>
          <w:sz w:val="32"/>
          <w:szCs w:val="32"/>
        </w:rPr>
        <w:t>“</w:t>
      </w:r>
      <w:r>
        <w:rPr>
          <w:rFonts w:ascii="Times New Roman" w:hAnsi="仿宋" w:eastAsia="仿宋"/>
          <w:sz w:val="32"/>
          <w:szCs w:val="32"/>
        </w:rPr>
        <w:t>四精五有</w:t>
      </w:r>
      <w:r>
        <w:rPr>
          <w:rFonts w:ascii="Times New Roman" w:hAnsi="Times New Roman" w:eastAsia="仿宋"/>
          <w:sz w:val="32"/>
          <w:szCs w:val="32"/>
        </w:rPr>
        <w:t>”</w:t>
      </w:r>
      <w:r>
        <w:rPr>
          <w:rFonts w:ascii="Times New Roman" w:hAnsi="仿宋" w:eastAsia="仿宋"/>
          <w:sz w:val="32"/>
          <w:szCs w:val="32"/>
        </w:rPr>
        <w:t>的要求：文明城市、卫生城市、宜居城市等创建活动；组织实施全区市容提质工程建设和环境综合整治；组织提高全区城市管理信息化、数字化、科技化水平，充分发挥数字化城市管理指挥中心的应急、指挥、调度职能，促进城市管理工作的现代化；承办区委、区人民政府及上级主管部门交办的其他事项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整体绩效目标：目标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、建立区城市综合管理体系，全面促进城市管理工作。目标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、对全区城市管理信息化、数字化、科技化水平等各方面工作达到一定的目标效果，尽量做到对社会各界服务尽职尽责。目标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、规范管理，狠抓干部队伍建设，打造廉洁高效队伍。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部门整体支出年度绩效产出指标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、质量目标：门前市容环境卫生责任制工作全面提升了主次干道、街巷环境卫生水平，建设更高水准的文明城区。指标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、成本指标：区内市投市建楼宇亮化维护共</w:t>
      </w:r>
      <w:r>
        <w:rPr>
          <w:rFonts w:ascii="Times New Roman" w:hAnsi="Times New Roman" w:eastAsia="仿宋"/>
          <w:sz w:val="32"/>
          <w:szCs w:val="32"/>
        </w:rPr>
        <w:t>30</w:t>
      </w:r>
      <w:r>
        <w:rPr>
          <w:rFonts w:ascii="Times New Roman" w:hAnsi="仿宋" w:eastAsia="仿宋"/>
          <w:sz w:val="32"/>
          <w:szCs w:val="32"/>
        </w:rPr>
        <w:t>处，对省委周边、五一广场、火车站东西广场周边等重要节点加强巡查力度确保亮化效果。确保达到最佳亮灯效果。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"/>
        </w:rPr>
      </w:pPr>
      <w:r>
        <w:rPr>
          <w:rFonts w:ascii="Times New Roman" w:hAnsi="仿宋" w:eastAsia="仿宋"/>
          <w:sz w:val="32"/>
          <w:szCs w:val="32"/>
        </w:rPr>
        <w:t>部门整体支出年度绩效效益指标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ascii="Times New Roman" w:hAnsi="仿宋" w:eastAsia="仿宋"/>
          <w:sz w:val="32"/>
          <w:szCs w:val="32"/>
        </w:rPr>
        <w:t>、定性目标：</w:t>
      </w:r>
      <w:r>
        <w:rPr>
          <w:rFonts w:ascii="Times New Roman" w:hAnsi="Times New Roman" w:eastAsia="仿宋"/>
          <w:sz w:val="32"/>
          <w:szCs w:val="32"/>
        </w:rPr>
        <w:t xml:space="preserve"> </w:t>
      </w:r>
      <w:r>
        <w:rPr>
          <w:rFonts w:ascii="Times New Roman" w:hAnsi="仿宋" w:eastAsia="仿宋"/>
          <w:sz w:val="32"/>
          <w:szCs w:val="32"/>
        </w:rPr>
        <w:t>向阳湖及两厢市政设施绿化维护项目，通过维护保持向阳湖水质</w:t>
      </w:r>
      <w:r>
        <w:rPr>
          <w:rFonts w:ascii="Times New Roman" w:hAnsi="Times New Roman" w:eastAsia="仿宋"/>
          <w:sz w:val="32"/>
          <w:szCs w:val="32"/>
        </w:rPr>
        <w:t>pH</w:t>
      </w:r>
      <w:r>
        <w:rPr>
          <w:rFonts w:ascii="Times New Roman" w:hAnsi="仿宋" w:eastAsia="仿宋"/>
          <w:sz w:val="32"/>
          <w:szCs w:val="32"/>
        </w:rPr>
        <w:t>值介于</w:t>
      </w:r>
      <w:r>
        <w:rPr>
          <w:rFonts w:ascii="Times New Roman" w:hAnsi="Times New Roman" w:eastAsia="仿宋"/>
          <w:sz w:val="32"/>
          <w:szCs w:val="32"/>
        </w:rPr>
        <w:t>6.0—9.0</w:t>
      </w:r>
      <w:r>
        <w:rPr>
          <w:rFonts w:ascii="Times New Roman" w:hAnsi="仿宋" w:eastAsia="仿宋"/>
          <w:sz w:val="32"/>
          <w:szCs w:val="32"/>
        </w:rPr>
        <w:t>，向阳湖两厢市政设施完善，绿化环境优美。指标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ascii="Times New Roman" w:hAnsi="仿宋" w:eastAsia="仿宋"/>
          <w:sz w:val="32"/>
          <w:szCs w:val="32"/>
        </w:rPr>
        <w:t>、可持续影响指标：芙蓉区楼宇景观亮化维护服务项目，持续增加城市魅力，促进发展。有助于社会发展，提升居民生活质量，人民群众满意度</w:t>
      </w:r>
      <w:r>
        <w:rPr>
          <w:rFonts w:ascii="Times New Roman" w:hAnsi="Times New Roman" w:eastAsia="仿宋"/>
          <w:sz w:val="32"/>
          <w:szCs w:val="32"/>
        </w:rPr>
        <w:t>100%</w:t>
      </w:r>
      <w:r>
        <w:rPr>
          <w:rFonts w:ascii="Times New Roman" w:hAnsi="仿宋" w:eastAsia="仿宋"/>
          <w:sz w:val="32"/>
          <w:szCs w:val="32"/>
        </w:rPr>
        <w:t>。指标</w:t>
      </w:r>
      <w:r>
        <w:rPr>
          <w:rFonts w:ascii="Times New Roman" w:hAnsi="Times New Roman" w:eastAsia="仿宋"/>
          <w:sz w:val="32"/>
          <w:szCs w:val="32"/>
        </w:rPr>
        <w:t>3</w:t>
      </w:r>
      <w:r>
        <w:rPr>
          <w:rFonts w:ascii="Times New Roman" w:hAnsi="仿宋" w:eastAsia="仿宋"/>
          <w:sz w:val="32"/>
          <w:szCs w:val="32"/>
        </w:rPr>
        <w:t>、定量目标：优化投资环境，维护城市市容整洁，实现社会效益和经济效益的同步增长。</w:t>
      </w:r>
    </w:p>
    <w:p>
      <w:pPr>
        <w:pStyle w:val="9"/>
        <w:spacing w:line="600" w:lineRule="exact"/>
        <w:ind w:firstLine="643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九、存在的问题及原因分析</w:t>
      </w:r>
    </w:p>
    <w:p>
      <w:pPr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"/>
        </w:rPr>
      </w:pPr>
      <w:r>
        <w:rPr>
          <w:rFonts w:ascii="Times New Roman" w:hAnsi="仿宋" w:eastAsia="仿宋"/>
          <w:sz w:val="32"/>
          <w:szCs w:val="32"/>
        </w:rPr>
        <w:t>绩效评价机制有待完善，以形成对财政资金的全面监管和对绩效目标的实时监控。</w:t>
      </w:r>
    </w:p>
    <w:p>
      <w:pPr>
        <w:numPr>
          <w:ilvl w:val="0"/>
          <w:numId w:val="1"/>
        </w:numPr>
        <w:spacing w:line="600" w:lineRule="exact"/>
        <w:ind w:firstLine="643" w:firstLineChars="200"/>
        <w:rPr>
          <w:rFonts w:ascii="Times New Roman" w:hAnsi="Times New Roman" w:eastAsia="黑体"/>
          <w:b/>
          <w:bCs/>
          <w:sz w:val="32"/>
          <w:szCs w:val="32"/>
        </w:rPr>
      </w:pPr>
      <w:r>
        <w:rPr>
          <w:rFonts w:ascii="Times New Roman" w:hAnsi="黑体" w:eastAsia="黑体"/>
          <w:b/>
          <w:bCs/>
          <w:sz w:val="32"/>
          <w:szCs w:val="32"/>
        </w:rPr>
        <w:t>下一步改进措施</w:t>
      </w:r>
    </w:p>
    <w:p>
      <w:pPr>
        <w:ind w:firstLine="640" w:firstLineChars="200"/>
        <w:jc w:val="left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完善绩效评价机制，建立和完善内部控制制度，形成完善的事前、事中、事后全过程的内控监督制度</w:t>
      </w:r>
      <w:r>
        <w:rPr>
          <w:rFonts w:hint="eastAsia" w:ascii="Times New Roman" w:hAnsi="仿宋" w:eastAsia="仿宋"/>
          <w:sz w:val="32"/>
          <w:szCs w:val="32"/>
        </w:rPr>
        <w:t>。</w:t>
      </w:r>
    </w:p>
    <w:p>
      <w:pPr>
        <w:pStyle w:val="2"/>
      </w:pPr>
    </w:p>
    <w:p>
      <w:pPr>
        <w:pStyle w:val="2"/>
      </w:pPr>
    </w:p>
    <w:p>
      <w:pPr>
        <w:pStyle w:val="2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长沙市芙蓉区城市管理局</w:t>
      </w:r>
    </w:p>
    <w:sectPr>
      <w:pgSz w:w="11906" w:h="16838"/>
      <w:pgMar w:top="1588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CE5CE"/>
    <w:multiLevelType w:val="singleLevel"/>
    <w:tmpl w:val="5B9CE5CE"/>
    <w:lvl w:ilvl="0" w:tentative="0">
      <w:start w:val="10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jBkMjk1Njc2ZTZkMWQzMTgyYmEzOTdlMjc5NGI5NjYifQ=="/>
  </w:docVars>
  <w:rsids>
    <w:rsidRoot w:val="000F3212"/>
    <w:rsid w:val="000F3212"/>
    <w:rsid w:val="00105DA5"/>
    <w:rsid w:val="00194DE4"/>
    <w:rsid w:val="00256F67"/>
    <w:rsid w:val="003843C7"/>
    <w:rsid w:val="003C0E82"/>
    <w:rsid w:val="00426F41"/>
    <w:rsid w:val="00537C63"/>
    <w:rsid w:val="005620DA"/>
    <w:rsid w:val="00A468A4"/>
    <w:rsid w:val="00B2672E"/>
    <w:rsid w:val="00BD1E15"/>
    <w:rsid w:val="00C81C0D"/>
    <w:rsid w:val="00D324CD"/>
    <w:rsid w:val="00D55215"/>
    <w:rsid w:val="038B39AD"/>
    <w:rsid w:val="056E01AC"/>
    <w:rsid w:val="0BA70353"/>
    <w:rsid w:val="0C58587E"/>
    <w:rsid w:val="11686FC8"/>
    <w:rsid w:val="16571DC8"/>
    <w:rsid w:val="1C307831"/>
    <w:rsid w:val="31B74226"/>
    <w:rsid w:val="33170067"/>
    <w:rsid w:val="357F2D10"/>
    <w:rsid w:val="371D60F3"/>
    <w:rsid w:val="3874671A"/>
    <w:rsid w:val="3FD173CC"/>
    <w:rsid w:val="419058FF"/>
    <w:rsid w:val="480C6215"/>
    <w:rsid w:val="51261137"/>
    <w:rsid w:val="52B05116"/>
    <w:rsid w:val="57F624E8"/>
    <w:rsid w:val="5D5F4884"/>
    <w:rsid w:val="5EDF43B1"/>
    <w:rsid w:val="6D317EA1"/>
    <w:rsid w:val="6E7B2AC3"/>
    <w:rsid w:val="6ED97E23"/>
    <w:rsid w:val="7C2E30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Body Text Indent 2"/>
    <w:basedOn w:val="1"/>
    <w:qFormat/>
    <w:uiPriority w:val="0"/>
    <w:pPr>
      <w:spacing w:line="400" w:lineRule="exact"/>
      <w:ind w:firstLine="840" w:firstLineChars="400"/>
    </w:pPr>
    <w:rPr>
      <w:rFonts w:ascii="宋体" w:hAnsi="宋体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0">
    <w:name w:val="页眉 Char"/>
    <w:basedOn w:val="7"/>
    <w:link w:val="5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2779</Words>
  <Characters>3046</Characters>
  <Lines>22</Lines>
  <Paragraphs>6</Paragraphs>
  <TotalTime>18</TotalTime>
  <ScaleCrop>false</ScaleCrop>
  <LinksUpToDate>false</LinksUpToDate>
  <CharactersWithSpaces>3058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2022-03-21T06:09:00Z</dcterms:created>
  <dc:creator>Administrator</dc:creator>
  <cp:lastModifiedBy>Administrator</cp:lastModifiedBy>
  <cp:lastPrinted>2022-03-25T01:53:00Z</cp:lastPrinted>
  <dcterms:modified xsi:type="dcterms:W3CDTF">2022-11-23T01:50:23Z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C3A6FE2D4B4E4330B4FEE4F016A0F8C2</vt:lpwstr>
  </property>
</Properties>
</file>