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rPr>
          <w:rFonts w:hint="default" w:ascii="方正小标宋简体" w:hAnsi="方正小标宋简体" w:eastAsia="方正小标宋简体" w:cs="方正小标宋简体"/>
          <w:color w:val="000000"/>
          <w:kern w:val="0"/>
          <w:sz w:val="43"/>
          <w:szCs w:val="43"/>
          <w:lang w:val="en-US" w:eastAsia="zh-CN" w:bidi="ar"/>
        </w:rPr>
      </w:pPr>
      <w:r>
        <w:rPr>
          <w:rFonts w:hint="default" w:ascii="Times New Roman" w:hAnsi="Times New Roman" w:eastAsia="宋体" w:cs="Times New Roman"/>
          <w:color w:val="000000"/>
          <w:kern w:val="0"/>
          <w:sz w:val="43"/>
          <w:szCs w:val="43"/>
          <w:lang w:val="en-US" w:eastAsia="zh-CN" w:bidi="ar"/>
        </w:rPr>
        <w:t>2022</w:t>
      </w:r>
      <w:r>
        <w:rPr>
          <w:rFonts w:ascii="方正小标宋简体" w:hAnsi="方正小标宋简体" w:eastAsia="方正小标宋简体" w:cs="方正小标宋简体"/>
          <w:color w:val="000000"/>
          <w:kern w:val="0"/>
          <w:sz w:val="43"/>
          <w:szCs w:val="43"/>
          <w:lang w:val="en-US" w:eastAsia="zh-CN" w:bidi="ar"/>
        </w:rPr>
        <w:t>年度</w:t>
      </w:r>
      <w:r>
        <w:rPr>
          <w:rFonts w:hint="eastAsia" w:ascii="方正小标宋简体" w:hAnsi="方正小标宋简体" w:eastAsia="方正小标宋简体" w:cs="方正小标宋简体"/>
          <w:color w:val="000000"/>
          <w:kern w:val="0"/>
          <w:sz w:val="43"/>
          <w:szCs w:val="43"/>
          <w:lang w:val="en-US" w:eastAsia="zh-CN" w:bidi="ar"/>
        </w:rPr>
        <w:t>芙蓉区行政执法局</w:t>
      </w:r>
      <w:r>
        <w:rPr>
          <w:rFonts w:hint="default" w:ascii="方正小标宋简体" w:hAnsi="方正小标宋简体" w:eastAsia="方正小标宋简体" w:cs="方正小标宋简体"/>
          <w:color w:val="000000"/>
          <w:kern w:val="0"/>
          <w:sz w:val="43"/>
          <w:szCs w:val="43"/>
          <w:lang w:val="en-US" w:eastAsia="zh-CN" w:bidi="ar"/>
        </w:rPr>
        <w:t>部门整体支出</w:t>
      </w:r>
    </w:p>
    <w:p>
      <w:pPr>
        <w:keepNext w:val="0"/>
        <w:keepLines w:val="0"/>
        <w:widowControl/>
        <w:suppressLineNumbers w:val="0"/>
        <w:jc w:val="center"/>
        <w:rPr>
          <w:rFonts w:hint="default" w:ascii="方正小标宋简体" w:hAnsi="方正小标宋简体" w:eastAsia="方正小标宋简体" w:cs="方正小标宋简体"/>
          <w:color w:val="000000"/>
          <w:kern w:val="0"/>
          <w:sz w:val="43"/>
          <w:szCs w:val="43"/>
          <w:lang w:val="en-US" w:eastAsia="zh-CN" w:bidi="ar"/>
        </w:rPr>
      </w:pPr>
      <w:r>
        <w:rPr>
          <w:rFonts w:hint="default" w:ascii="方正小标宋简体" w:hAnsi="方正小标宋简体" w:eastAsia="方正小标宋简体" w:cs="方正小标宋简体"/>
          <w:color w:val="000000"/>
          <w:kern w:val="0"/>
          <w:sz w:val="43"/>
          <w:szCs w:val="43"/>
          <w:lang w:val="en-US" w:eastAsia="zh-CN" w:bidi="ar"/>
        </w:rPr>
        <w:t>绩效</w:t>
      </w:r>
      <w:r>
        <w:rPr>
          <w:rFonts w:hint="eastAsia" w:ascii="方正小标宋简体" w:hAnsi="方正小标宋简体" w:eastAsia="方正小标宋简体" w:cs="方正小标宋简体"/>
          <w:color w:val="000000"/>
          <w:kern w:val="0"/>
          <w:sz w:val="43"/>
          <w:szCs w:val="43"/>
          <w:lang w:val="en-US" w:eastAsia="zh-CN" w:bidi="ar"/>
        </w:rPr>
        <w:t>评价</w:t>
      </w:r>
      <w:r>
        <w:rPr>
          <w:rFonts w:hint="default" w:ascii="方正小标宋简体" w:hAnsi="方正小标宋简体" w:eastAsia="方正小标宋简体" w:cs="方正小标宋简体"/>
          <w:color w:val="000000"/>
          <w:kern w:val="0"/>
          <w:sz w:val="43"/>
          <w:szCs w:val="43"/>
          <w:lang w:val="en-US" w:eastAsia="zh-CN" w:bidi="ar"/>
        </w:rPr>
        <w:t>报告</w:t>
      </w:r>
    </w:p>
    <w:p>
      <w:pPr>
        <w:pStyle w:val="2"/>
      </w:pPr>
      <w:bookmarkStart w:id="0" w:name="_GoBack"/>
      <w:bookmarkEnd w:id="0"/>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一、部门概况 </w:t>
      </w:r>
    </w:p>
    <w:p>
      <w:pPr>
        <w:keepNext w:val="0"/>
        <w:keepLines w:val="0"/>
        <w:widowControl/>
        <w:suppressLineNumbers w:val="0"/>
        <w:ind w:firstLine="622" w:firstLineChars="200"/>
        <w:jc w:val="left"/>
      </w:pPr>
      <w:r>
        <w:rPr>
          <w:rFonts w:hint="eastAsia" w:ascii="楷体_GB2312" w:hAnsi="宋体" w:eastAsia="楷体_GB2312" w:cs="楷体_GB2312"/>
          <w:b/>
          <w:color w:val="000000"/>
          <w:kern w:val="0"/>
          <w:sz w:val="31"/>
          <w:szCs w:val="31"/>
          <w:lang w:val="en-US" w:eastAsia="zh-CN" w:bidi="ar"/>
        </w:rPr>
        <w:t xml:space="preserve">（一）部门（单位）基本情况。 </w:t>
      </w:r>
    </w:p>
    <w:p>
      <w:pPr>
        <w:autoSpaceDE w:val="0"/>
        <w:autoSpaceDN w:val="0"/>
        <w:adjustRightInd w:val="0"/>
        <w:spacing w:line="600" w:lineRule="exact"/>
        <w:ind w:firstLine="640" w:firstLineChars="200"/>
        <w:rPr>
          <w:rFonts w:hint="default" w:eastAsia="仿宋_GB2312"/>
          <w:sz w:val="32"/>
          <w:szCs w:val="32"/>
          <w:highlight w:val="none"/>
          <w:lang w:val="en-US" w:eastAsia="zh-CN"/>
        </w:rPr>
      </w:pPr>
      <w:r>
        <w:rPr>
          <w:rFonts w:hint="eastAsia" w:eastAsia="仿宋_GB2312"/>
          <w:sz w:val="32"/>
          <w:szCs w:val="32"/>
          <w:highlight w:val="none"/>
        </w:rPr>
        <w:t>1. 主要职能：</w:t>
      </w:r>
      <w:r>
        <w:rPr>
          <w:rFonts w:hint="eastAsia" w:eastAsia="仿宋_GB2312"/>
          <w:kern w:val="0"/>
          <w:sz w:val="32"/>
          <w:szCs w:val="32"/>
          <w:highlight w:val="none"/>
        </w:rPr>
        <w:t>主要行使城市管理领域、档案领域、民族宗教领域、发展和改革领域、教育领域、科技领域、工业和信息化领域、民政领域、司法行政领域、财政领域、人力资源社会保障领域、住房城乡建设领域、人民防空领域、林业领域、水利领域、商务领域、卫生健康领域、审计领域、退役军人事务管理领域、应急领域、市场监管领域、知识产权领域、统计领域和医疗保障领域共二十四个领域行政处罚权以及与之相关的行政强制权（仅限行政强制措施）、执法检查权。</w:t>
      </w:r>
    </w:p>
    <w:p>
      <w:pPr>
        <w:spacing w:line="560" w:lineRule="exact"/>
        <w:ind w:firstLine="640" w:firstLineChars="200"/>
        <w:rPr>
          <w:rFonts w:hint="eastAsia" w:eastAsia="仿宋_GB2312"/>
          <w:sz w:val="32"/>
          <w:szCs w:val="32"/>
        </w:rPr>
      </w:pPr>
      <w:r>
        <w:rPr>
          <w:rFonts w:hint="eastAsia" w:eastAsia="仿宋_GB2312"/>
          <w:sz w:val="32"/>
          <w:szCs w:val="32"/>
        </w:rPr>
        <w:t>2. 人员情况:</w:t>
      </w:r>
      <w:r>
        <w:rPr>
          <w:rFonts w:hint="eastAsia" w:eastAsia="仿宋_GB2312"/>
          <w:sz w:val="32"/>
          <w:szCs w:val="32"/>
          <w:lang w:eastAsia="zh-CN"/>
        </w:rPr>
        <w:t>局编制</w:t>
      </w:r>
      <w:r>
        <w:rPr>
          <w:rFonts w:hint="eastAsia" w:eastAsia="仿宋_GB2312"/>
          <w:sz w:val="32"/>
          <w:szCs w:val="32"/>
          <w:highlight w:val="none"/>
          <w:lang w:eastAsia="zh-CN"/>
        </w:rPr>
        <w:t>数</w:t>
      </w:r>
      <w:r>
        <w:rPr>
          <w:rFonts w:hint="eastAsia" w:eastAsia="仿宋_GB2312"/>
          <w:sz w:val="32"/>
          <w:szCs w:val="32"/>
          <w:highlight w:val="none"/>
          <w:lang w:val="en-US" w:eastAsia="zh-CN"/>
        </w:rPr>
        <w:t>40名</w:t>
      </w:r>
      <w:r>
        <w:rPr>
          <w:rFonts w:hint="eastAsia" w:eastAsia="仿宋_GB2312"/>
          <w:sz w:val="32"/>
          <w:szCs w:val="32"/>
          <w:lang w:val="en-US" w:eastAsia="zh-CN"/>
        </w:rPr>
        <w:t>，年末在职在岗职工33名，退休人员2名</w:t>
      </w:r>
      <w:r>
        <w:rPr>
          <w:rFonts w:hint="eastAsia" w:eastAsia="仿宋_GB2312"/>
          <w:sz w:val="32"/>
          <w:szCs w:val="32"/>
        </w:rPr>
        <w:t>。 </w:t>
      </w:r>
    </w:p>
    <w:p>
      <w:pPr>
        <w:autoSpaceDE w:val="0"/>
        <w:autoSpaceDN w:val="0"/>
        <w:adjustRightInd w:val="0"/>
        <w:spacing w:line="600" w:lineRule="exact"/>
        <w:ind w:firstLine="640" w:firstLineChars="200"/>
        <w:rPr>
          <w:rFonts w:hint="eastAsia" w:eastAsia="仿宋_GB2312"/>
          <w:kern w:val="0"/>
          <w:sz w:val="32"/>
          <w:szCs w:val="32"/>
          <w:highlight w:val="none"/>
          <w:lang w:val="en-US" w:eastAsia="zh-CN"/>
        </w:rPr>
      </w:pPr>
      <w:r>
        <w:rPr>
          <w:rFonts w:hint="eastAsia" w:eastAsia="仿宋_GB2312"/>
          <w:kern w:val="0"/>
          <w:sz w:val="32"/>
          <w:szCs w:val="32"/>
          <w:highlight w:val="none"/>
          <w:lang w:val="en-US" w:eastAsia="zh-CN"/>
        </w:rPr>
        <w:t>3.</w:t>
      </w:r>
      <w:r>
        <w:rPr>
          <w:rFonts w:hint="eastAsia" w:eastAsia="仿宋_GB2312"/>
          <w:kern w:val="0"/>
          <w:sz w:val="32"/>
          <w:szCs w:val="32"/>
          <w:highlight w:val="none"/>
        </w:rPr>
        <w:t>内设机构设置。内设机构包括：本级、内设科室</w:t>
      </w:r>
      <w:r>
        <w:rPr>
          <w:rFonts w:hint="eastAsia" w:eastAsia="仿宋_GB2312"/>
          <w:kern w:val="0"/>
          <w:sz w:val="32"/>
          <w:szCs w:val="32"/>
          <w:highlight w:val="none"/>
          <w:lang w:val="en-US" w:eastAsia="zh-CN"/>
        </w:rPr>
        <w:t>4个</w:t>
      </w:r>
      <w:r>
        <w:rPr>
          <w:rFonts w:hint="eastAsia" w:eastAsia="仿宋_GB2312"/>
          <w:kern w:val="0"/>
          <w:sz w:val="32"/>
          <w:szCs w:val="32"/>
          <w:highlight w:val="none"/>
        </w:rPr>
        <w:t>，</w:t>
      </w:r>
      <w:r>
        <w:rPr>
          <w:rFonts w:hint="eastAsia" w:eastAsia="仿宋_GB2312"/>
          <w:kern w:val="0"/>
          <w:sz w:val="32"/>
          <w:szCs w:val="32"/>
          <w:highlight w:val="none"/>
          <w:lang w:eastAsia="zh-CN"/>
        </w:rPr>
        <w:t>所属</w:t>
      </w:r>
      <w:r>
        <w:rPr>
          <w:rFonts w:hint="eastAsia" w:eastAsia="仿宋_GB2312"/>
          <w:kern w:val="0"/>
          <w:sz w:val="32"/>
          <w:szCs w:val="32"/>
          <w:highlight w:val="none"/>
        </w:rPr>
        <w:t>机构2个，内设科室分别是：办公室、财务科、法制科、执法监督科，局属事业单位分别是长沙市芙蓉区行政执法大队、长沙市芙蓉区执法信息指挥调度中心。　</w:t>
      </w:r>
    </w:p>
    <w:p>
      <w:pPr>
        <w:keepNext w:val="0"/>
        <w:keepLines w:val="0"/>
        <w:widowControl/>
        <w:suppressLineNumbers w:val="0"/>
        <w:ind w:firstLine="622" w:firstLineChars="200"/>
        <w:jc w:val="left"/>
      </w:pPr>
      <w:r>
        <w:rPr>
          <w:rFonts w:hint="eastAsia" w:ascii="楷体_GB2312" w:hAnsi="宋体" w:eastAsia="楷体_GB2312" w:cs="楷体_GB2312"/>
          <w:b/>
          <w:color w:val="000000"/>
          <w:kern w:val="0"/>
          <w:sz w:val="31"/>
          <w:szCs w:val="31"/>
          <w:lang w:val="en-US" w:eastAsia="zh-CN" w:bidi="ar"/>
        </w:rPr>
        <w:t xml:space="preserve">（二）部门（单位）整体支出规模、使用方向和主要内容、 </w:t>
      </w:r>
    </w:p>
    <w:p>
      <w:pPr>
        <w:keepNext w:val="0"/>
        <w:keepLines w:val="0"/>
        <w:widowControl/>
        <w:suppressLineNumbers w:val="0"/>
        <w:jc w:val="left"/>
      </w:pPr>
      <w:r>
        <w:rPr>
          <w:rFonts w:hint="eastAsia" w:ascii="楷体_GB2312" w:hAnsi="宋体" w:eastAsia="楷体_GB2312" w:cs="楷体_GB2312"/>
          <w:b/>
          <w:color w:val="000000"/>
          <w:kern w:val="0"/>
          <w:sz w:val="31"/>
          <w:szCs w:val="31"/>
          <w:lang w:val="en-US" w:eastAsia="zh-CN" w:bidi="ar"/>
        </w:rPr>
        <w:t xml:space="preserve">涉及范围等。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年预算批复</w:t>
      </w:r>
      <w:r>
        <w:rPr>
          <w:rFonts w:hint="eastAsia" w:ascii="Times New Roman" w:hAnsi="Times New Roman" w:eastAsia="仿宋_GB2312" w:cs="Times New Roman"/>
          <w:sz w:val="32"/>
          <w:szCs w:val="32"/>
          <w:lang w:val="en-US" w:eastAsia="zh-CN"/>
        </w:rPr>
        <w:t>961.23</w:t>
      </w:r>
      <w:r>
        <w:rPr>
          <w:rFonts w:hint="default" w:ascii="Times New Roman" w:hAnsi="Times New Roman" w:eastAsia="仿宋_GB2312" w:cs="Times New Roman"/>
          <w:sz w:val="32"/>
          <w:szCs w:val="32"/>
          <w:lang w:val="en-US" w:eastAsia="zh-CN"/>
        </w:rPr>
        <w:t>万元，全年实际到位资金</w:t>
      </w:r>
      <w:r>
        <w:rPr>
          <w:rFonts w:hint="eastAsia" w:ascii="Times New Roman" w:hAnsi="Times New Roman" w:eastAsia="仿宋_GB2312" w:cs="Times New Roman"/>
          <w:sz w:val="32"/>
          <w:szCs w:val="32"/>
          <w:lang w:val="en-US" w:eastAsia="zh-CN"/>
        </w:rPr>
        <w:t>937.8</w:t>
      </w:r>
      <w:r>
        <w:rPr>
          <w:rFonts w:hint="default" w:ascii="Times New Roman" w:hAnsi="Times New Roman" w:eastAsia="仿宋_GB2312" w:cs="Times New Roman"/>
          <w:sz w:val="32"/>
          <w:szCs w:val="32"/>
          <w:lang w:val="en-US" w:eastAsia="zh-CN"/>
        </w:rPr>
        <w:t>万元；实际支出</w:t>
      </w:r>
      <w:r>
        <w:rPr>
          <w:rFonts w:hint="eastAsia" w:ascii="Times New Roman" w:hAnsi="Times New Roman" w:eastAsia="仿宋_GB2312" w:cs="Times New Roman"/>
          <w:sz w:val="32"/>
          <w:szCs w:val="32"/>
          <w:lang w:val="en-US" w:eastAsia="zh-CN"/>
        </w:rPr>
        <w:t>937.8</w:t>
      </w:r>
      <w:r>
        <w:rPr>
          <w:rFonts w:hint="default" w:ascii="Times New Roman" w:hAnsi="Times New Roman" w:eastAsia="仿宋_GB2312" w:cs="Times New Roman"/>
          <w:sz w:val="32"/>
          <w:szCs w:val="32"/>
          <w:lang w:val="en-US" w:eastAsia="zh-CN"/>
        </w:rPr>
        <w:t>万元，其中基本支出</w:t>
      </w:r>
      <w:r>
        <w:rPr>
          <w:rFonts w:hint="eastAsia" w:ascii="Times New Roman" w:hAnsi="Times New Roman" w:eastAsia="仿宋_GB2312" w:cs="Times New Roman"/>
          <w:sz w:val="32"/>
          <w:szCs w:val="32"/>
          <w:lang w:val="en-US" w:eastAsia="zh-CN"/>
        </w:rPr>
        <w:t>936.68</w:t>
      </w:r>
      <w:r>
        <w:rPr>
          <w:rFonts w:hint="default" w:ascii="Times New Roman" w:hAnsi="Times New Roman" w:eastAsia="仿宋_GB2312" w:cs="Times New Roman"/>
          <w:sz w:val="32"/>
          <w:szCs w:val="32"/>
          <w:lang w:val="en-US" w:eastAsia="zh-CN"/>
        </w:rPr>
        <w:t>万元，项目支出</w:t>
      </w:r>
      <w:r>
        <w:rPr>
          <w:rFonts w:hint="eastAsia" w:ascii="Times New Roman" w:hAnsi="Times New Roman" w:eastAsia="仿宋_GB2312" w:cs="Times New Roman"/>
          <w:sz w:val="32"/>
          <w:szCs w:val="32"/>
          <w:lang w:val="en-US" w:eastAsia="zh-CN"/>
        </w:rPr>
        <w:t>1.12万</w:t>
      </w:r>
      <w:r>
        <w:rPr>
          <w:rFonts w:hint="default" w:ascii="Times New Roman" w:hAnsi="Times New Roman" w:eastAsia="仿宋_GB2312" w:cs="Times New Roman"/>
          <w:sz w:val="32"/>
          <w:szCs w:val="32"/>
          <w:lang w:val="en-US" w:eastAsia="zh-CN"/>
        </w:rPr>
        <w:t>元；上年结余</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万元，本年结余</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万元。</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二、一般公共预算支出情况 </w:t>
      </w:r>
    </w:p>
    <w:p>
      <w:pPr>
        <w:keepNext w:val="0"/>
        <w:keepLines w:val="0"/>
        <w:widowControl/>
        <w:suppressLineNumbers w:val="0"/>
        <w:ind w:firstLine="622" w:firstLineChars="200"/>
        <w:jc w:val="left"/>
      </w:pPr>
      <w:r>
        <w:rPr>
          <w:rFonts w:hint="eastAsia" w:ascii="楷体_GB2312" w:hAnsi="宋体" w:eastAsia="楷体_GB2312" w:cs="楷体_GB2312"/>
          <w:b/>
          <w:color w:val="000000"/>
          <w:kern w:val="0"/>
          <w:sz w:val="31"/>
          <w:szCs w:val="31"/>
          <w:lang w:val="en-US" w:eastAsia="zh-CN" w:bidi="ar"/>
        </w:rPr>
        <w:t xml:space="preserve">（一）基本支出 </w:t>
      </w:r>
    </w:p>
    <w:p>
      <w:pPr>
        <w:autoSpaceDE w:val="0"/>
        <w:autoSpaceDN w:val="0"/>
        <w:adjustRightInd w:val="0"/>
        <w:spacing w:line="600" w:lineRule="exact"/>
        <w:ind w:firstLine="640" w:firstLineChars="200"/>
        <w:rPr>
          <w:rFonts w:hint="eastAsia" w:eastAsia="仿宋_GB2312"/>
          <w:kern w:val="0"/>
          <w:sz w:val="32"/>
          <w:szCs w:val="32"/>
          <w:highlight w:val="none"/>
          <w:lang w:val="en-US" w:eastAsia="zh-CN"/>
        </w:rPr>
      </w:pPr>
      <w:r>
        <w:rPr>
          <w:rFonts w:hint="eastAsia" w:eastAsia="仿宋_GB2312"/>
          <w:kern w:val="0"/>
          <w:sz w:val="32"/>
          <w:szCs w:val="32"/>
          <w:highlight w:val="none"/>
          <w:lang w:val="en-US" w:eastAsia="zh-CN"/>
        </w:rPr>
        <w:t>基本支出年初预算数为961.23万元，实际支出936.68万元，是指为保障单位机构运转、完成日常工作任务而发生的各项支出，包括基本工资、津贴补贴等人员经费以及办公费、委托业务费、印刷费、水电费、办公设备购置费等日常公用经费。</w:t>
      </w:r>
    </w:p>
    <w:tbl>
      <w:tblPr>
        <w:tblStyle w:val="4"/>
        <w:tblpPr w:leftFromText="180" w:rightFromText="180" w:vertAnchor="text" w:horzAnchor="page" w:tblpX="2082" w:tblpY="291"/>
        <w:tblOverlap w:val="never"/>
        <w:tblW w:w="7899" w:type="dxa"/>
        <w:tblInd w:w="0" w:type="dxa"/>
        <w:shd w:val="clear" w:color="auto" w:fill="auto"/>
        <w:tblLayout w:type="autofit"/>
        <w:tblCellMar>
          <w:top w:w="0" w:type="dxa"/>
          <w:left w:w="0" w:type="dxa"/>
          <w:bottom w:w="0" w:type="dxa"/>
          <w:right w:w="0" w:type="dxa"/>
        </w:tblCellMar>
      </w:tblPr>
      <w:tblGrid>
        <w:gridCol w:w="859"/>
        <w:gridCol w:w="5146"/>
        <w:gridCol w:w="1894"/>
      </w:tblGrid>
      <w:tr>
        <w:tblPrEx>
          <w:shd w:val="clear" w:color="auto" w:fill="auto"/>
          <w:tblCellMar>
            <w:top w:w="0" w:type="dxa"/>
            <w:left w:w="0" w:type="dxa"/>
            <w:bottom w:w="0" w:type="dxa"/>
            <w:right w:w="0" w:type="dxa"/>
          </w:tblCellMar>
        </w:tblPrEx>
        <w:trPr>
          <w:trHeight w:val="338" w:hRule="atLeast"/>
        </w:trPr>
        <w:tc>
          <w:tcPr>
            <w:tcW w:w="60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类别</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金额（万元）</w:t>
            </w:r>
          </w:p>
        </w:tc>
      </w:tr>
      <w:tr>
        <w:tblPrEx>
          <w:tblCellMar>
            <w:top w:w="0" w:type="dxa"/>
            <w:left w:w="0" w:type="dxa"/>
            <w:bottom w:w="0" w:type="dxa"/>
            <w:right w:w="0" w:type="dxa"/>
          </w:tblCellMar>
        </w:tblPrEx>
        <w:trPr>
          <w:trHeight w:val="487" w:hRule="atLeast"/>
        </w:trPr>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基本支出使用金额</w:t>
            </w:r>
          </w:p>
        </w:tc>
        <w:tc>
          <w:tcPr>
            <w:tcW w:w="5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工资福利支出</w:t>
            </w: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856.51</w:t>
            </w:r>
          </w:p>
        </w:tc>
      </w:tr>
      <w:tr>
        <w:tblPrEx>
          <w:tblCellMar>
            <w:top w:w="0" w:type="dxa"/>
            <w:left w:w="0" w:type="dxa"/>
            <w:bottom w:w="0" w:type="dxa"/>
            <w:right w:w="0" w:type="dxa"/>
          </w:tblCellMar>
        </w:tblPrEx>
        <w:trPr>
          <w:trHeight w:val="487" w:hRule="atLeast"/>
        </w:trPr>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商品和服务支出</w:t>
            </w: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52.96</w:t>
            </w:r>
          </w:p>
        </w:tc>
      </w:tr>
      <w:tr>
        <w:tblPrEx>
          <w:tblCellMar>
            <w:top w:w="0" w:type="dxa"/>
            <w:left w:w="0" w:type="dxa"/>
            <w:bottom w:w="0" w:type="dxa"/>
            <w:right w:w="0" w:type="dxa"/>
          </w:tblCellMar>
        </w:tblPrEx>
        <w:trPr>
          <w:trHeight w:val="487" w:hRule="atLeast"/>
        </w:trPr>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对个人和家庭的补助</w:t>
            </w: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27.11</w:t>
            </w:r>
          </w:p>
        </w:tc>
      </w:tr>
      <w:tr>
        <w:tblPrEx>
          <w:tblCellMar>
            <w:top w:w="0" w:type="dxa"/>
            <w:left w:w="0" w:type="dxa"/>
            <w:bottom w:w="0" w:type="dxa"/>
            <w:right w:w="0" w:type="dxa"/>
          </w:tblCellMar>
        </w:tblPrEx>
        <w:trPr>
          <w:trHeight w:val="487" w:hRule="atLeast"/>
        </w:trPr>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资本性支出</w:t>
            </w: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0.1</w:t>
            </w:r>
          </w:p>
        </w:tc>
      </w:tr>
      <w:tr>
        <w:tblPrEx>
          <w:tblCellMar>
            <w:top w:w="0" w:type="dxa"/>
            <w:left w:w="0" w:type="dxa"/>
            <w:bottom w:w="0" w:type="dxa"/>
            <w:right w:w="0" w:type="dxa"/>
          </w:tblCellMar>
        </w:tblPrEx>
        <w:trPr>
          <w:trHeight w:val="497" w:hRule="atLeast"/>
        </w:trPr>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p>
        </w:tc>
        <w:tc>
          <w:tcPr>
            <w:tcW w:w="5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基本支出决算</w:t>
            </w: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936.68</w:t>
            </w:r>
          </w:p>
        </w:tc>
      </w:tr>
    </w:tbl>
    <w:p>
      <w:pPr>
        <w:autoSpaceDE w:val="0"/>
        <w:autoSpaceDN w:val="0"/>
        <w:adjustRightInd w:val="0"/>
        <w:spacing w:line="600" w:lineRule="exact"/>
        <w:ind w:firstLine="640" w:firstLineChars="200"/>
        <w:rPr>
          <w:rFonts w:hint="eastAsia" w:eastAsia="仿宋_GB2312"/>
          <w:kern w:val="0"/>
          <w:sz w:val="32"/>
          <w:szCs w:val="32"/>
          <w:highlight w:val="none"/>
          <w:lang w:val="en-US" w:eastAsia="zh-CN"/>
        </w:rPr>
      </w:pPr>
      <w:r>
        <w:rPr>
          <w:rFonts w:hint="eastAsia" w:eastAsia="仿宋_GB2312"/>
          <w:kern w:val="0"/>
          <w:sz w:val="32"/>
          <w:szCs w:val="32"/>
          <w:highlight w:val="none"/>
          <w:lang w:val="en-US" w:eastAsia="zh-CN"/>
        </w:rPr>
        <w:t xml:space="preserve">“三公”经费年初预算数为10万元，实际支出4.69万元，其中公务用车运行维护费4.69万元；公务用车购置费0万元；公务接待费0万元。公务用车运行维护费相较于上年度增加2.91%，增加原因是本年底预付了下年度1-3月车辆加油费用；公务用车购置费、公务接待费与上年度持平。  </w:t>
      </w:r>
    </w:p>
    <w:p>
      <w:pPr>
        <w:autoSpaceDE w:val="0"/>
        <w:autoSpaceDN w:val="0"/>
        <w:adjustRightInd w:val="0"/>
        <w:spacing w:line="600" w:lineRule="exact"/>
        <w:ind w:firstLine="640" w:firstLineChars="200"/>
        <w:rPr>
          <w:rFonts w:hint="eastAsia" w:eastAsia="仿宋_GB2312"/>
          <w:kern w:val="0"/>
          <w:sz w:val="32"/>
          <w:szCs w:val="32"/>
          <w:highlight w:val="none"/>
          <w:lang w:val="en-US" w:eastAsia="zh-CN"/>
        </w:rPr>
      </w:pPr>
      <w:r>
        <w:rPr>
          <w:rFonts w:hint="eastAsia" w:eastAsia="仿宋_GB2312"/>
          <w:kern w:val="0"/>
          <w:sz w:val="32"/>
          <w:szCs w:val="32"/>
          <w:highlight w:val="none"/>
          <w:lang w:val="en-US" w:eastAsia="zh-CN"/>
        </w:rPr>
        <w:t>本单位对公车运行费用实行定点维修、定点加油、统一保险等制度。</w:t>
      </w:r>
    </w:p>
    <w:p>
      <w:pPr>
        <w:keepNext w:val="0"/>
        <w:keepLines w:val="0"/>
        <w:widowControl/>
        <w:suppressLineNumbers w:val="0"/>
        <w:ind w:firstLine="622" w:firstLineChars="200"/>
        <w:jc w:val="left"/>
      </w:pPr>
      <w:r>
        <w:rPr>
          <w:rFonts w:hint="eastAsia" w:ascii="楷体_GB2312" w:hAnsi="宋体" w:eastAsia="楷体_GB2312" w:cs="楷体_GB2312"/>
          <w:b/>
          <w:color w:val="000000"/>
          <w:kern w:val="0"/>
          <w:sz w:val="31"/>
          <w:szCs w:val="31"/>
          <w:lang w:val="en-US" w:eastAsia="zh-CN" w:bidi="ar"/>
        </w:rPr>
        <w:t xml:space="preserve">（二）项目支出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1.</w:t>
      </w:r>
      <w:r>
        <w:rPr>
          <w:rFonts w:hint="eastAsia" w:ascii="仿宋_GB2312" w:hAnsi="宋体" w:eastAsia="仿宋_GB2312" w:cs="仿宋_GB2312"/>
          <w:color w:val="000000"/>
          <w:kern w:val="0"/>
          <w:sz w:val="31"/>
          <w:szCs w:val="31"/>
          <w:lang w:val="en-US" w:eastAsia="zh-CN" w:bidi="ar"/>
        </w:rPr>
        <w:t xml:space="preserve">项目资金（包括财政资金、自筹资金等）安排落实、总投入等情况分析。 </w:t>
      </w: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年初项目经费预算为0，2020年党费经费返还项目资金结转1.12万元，年中追加2021年党建经费返还项目资金1.14万元，共计2.28万元。</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2.</w:t>
      </w:r>
      <w:r>
        <w:rPr>
          <w:rFonts w:hint="eastAsia" w:ascii="仿宋_GB2312" w:hAnsi="宋体" w:eastAsia="仿宋_GB2312" w:cs="仿宋_GB2312"/>
          <w:color w:val="000000"/>
          <w:kern w:val="0"/>
          <w:sz w:val="31"/>
          <w:szCs w:val="31"/>
          <w:lang w:val="en-US" w:eastAsia="zh-CN" w:bidi="ar"/>
        </w:rPr>
        <w:t xml:space="preserve">项目资金（主要指财政资金）实际使用情况分析。 </w:t>
      </w: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本年度共支出项目资金1.12万元，其中2020年党建经费返还项目支出1.12万元，2021年党建经费返还项目支出0万元。</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3.</w:t>
      </w:r>
      <w:r>
        <w:rPr>
          <w:rFonts w:hint="eastAsia" w:ascii="仿宋_GB2312" w:hAnsi="宋体" w:eastAsia="仿宋_GB2312" w:cs="仿宋_GB2312"/>
          <w:color w:val="000000"/>
          <w:kern w:val="0"/>
          <w:sz w:val="31"/>
          <w:szCs w:val="31"/>
          <w:lang w:val="en-US" w:eastAsia="zh-CN" w:bidi="ar"/>
        </w:rPr>
        <w:t xml:space="preserve">项目资金管理情况分析，主要包括管理制度、办法的制订及执行情况。 </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项目资金严格按照《财政专项资金管理暂行办法》进行管理，确保资金专款专用。本单位还制定了《预算管理制度》、《收入管理制度》、《支出管理制度》、《政府采购管理制度》、《资产业务管理制度》等规章制度，对资金、物资的使用和管理进行规范，使财政收支预算执行取到良好的实施效果。</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三、部门项目组织实施情况 </w:t>
      </w:r>
    </w:p>
    <w:p>
      <w:pPr>
        <w:keepNext w:val="0"/>
        <w:keepLines w:val="0"/>
        <w:widowControl/>
        <w:suppressLineNumbers w:val="0"/>
        <w:ind w:firstLine="622" w:firstLineChars="200"/>
        <w:jc w:val="left"/>
        <w:rPr>
          <w:rFonts w:hint="eastAsia" w:ascii="楷体_GB2312" w:hAnsi="宋体" w:eastAsia="楷体_GB2312" w:cs="楷体_GB2312"/>
          <w:b/>
          <w:color w:val="000000"/>
          <w:kern w:val="0"/>
          <w:sz w:val="31"/>
          <w:szCs w:val="31"/>
          <w:lang w:val="en-US" w:eastAsia="zh-CN" w:bidi="ar"/>
        </w:rPr>
      </w:pPr>
      <w:r>
        <w:rPr>
          <w:rFonts w:hint="eastAsia" w:ascii="楷体_GB2312" w:hAnsi="宋体" w:eastAsia="楷体_GB2312" w:cs="楷体_GB2312"/>
          <w:b/>
          <w:color w:val="000000"/>
          <w:kern w:val="0"/>
          <w:sz w:val="31"/>
          <w:szCs w:val="31"/>
          <w:lang w:val="en-US" w:eastAsia="zh-CN" w:bidi="ar"/>
        </w:rPr>
        <w:t xml:space="preserve">（一）项目组织情况分析，主要包括项目招投标、调整、 </w:t>
      </w:r>
    </w:p>
    <w:p>
      <w:pPr>
        <w:keepNext w:val="0"/>
        <w:keepLines w:val="0"/>
        <w:widowControl/>
        <w:suppressLineNumbers w:val="0"/>
        <w:jc w:val="left"/>
      </w:pPr>
      <w:r>
        <w:rPr>
          <w:rFonts w:hint="eastAsia" w:ascii="楷体_GB2312" w:hAnsi="宋体" w:eastAsia="楷体_GB2312" w:cs="楷体_GB2312"/>
          <w:b/>
          <w:color w:val="000000"/>
          <w:kern w:val="0"/>
          <w:sz w:val="31"/>
          <w:szCs w:val="31"/>
          <w:lang w:val="en-US" w:eastAsia="zh-CN" w:bidi="ar"/>
        </w:rPr>
        <w:t>竣工验收等情况。</w:t>
      </w:r>
      <w:r>
        <w:rPr>
          <w:rFonts w:hint="eastAsia" w:ascii="仿宋_GB2312" w:hAnsi="宋体"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我单位政府采购按照政府采购管理办法组织实施。对已具备验收条件的项目,及时组织验收、移交使用。</w:t>
      </w:r>
    </w:p>
    <w:p>
      <w:pPr>
        <w:keepNext w:val="0"/>
        <w:keepLines w:val="0"/>
        <w:widowControl/>
        <w:suppressLineNumbers w:val="0"/>
        <w:ind w:firstLine="622" w:firstLineChars="200"/>
        <w:jc w:val="left"/>
        <w:rPr>
          <w:rFonts w:hint="eastAsia" w:ascii="楷体_GB2312" w:hAnsi="宋体" w:eastAsia="楷体_GB2312" w:cs="楷体_GB2312"/>
          <w:b/>
          <w:color w:val="000000"/>
          <w:kern w:val="0"/>
          <w:sz w:val="31"/>
          <w:szCs w:val="31"/>
          <w:lang w:val="en-US" w:eastAsia="zh-CN" w:bidi="ar"/>
        </w:rPr>
      </w:pPr>
      <w:r>
        <w:rPr>
          <w:rFonts w:hint="eastAsia" w:ascii="楷体_GB2312" w:hAnsi="宋体" w:eastAsia="楷体_GB2312" w:cs="楷体_GB2312"/>
          <w:b/>
          <w:color w:val="000000"/>
          <w:kern w:val="0"/>
          <w:sz w:val="31"/>
          <w:szCs w:val="31"/>
          <w:lang w:val="en-US" w:eastAsia="zh-CN" w:bidi="ar"/>
        </w:rPr>
        <w:t xml:space="preserve">（二）项目管理情况分析，主要包括项目管理制度建设、 </w:t>
      </w:r>
    </w:p>
    <w:p>
      <w:pPr>
        <w:keepNext w:val="0"/>
        <w:keepLines w:val="0"/>
        <w:widowControl/>
        <w:suppressLineNumbers w:val="0"/>
        <w:jc w:val="left"/>
        <w:rPr>
          <w:rFonts w:hint="eastAsia" w:ascii="楷体_GB2312" w:hAnsi="宋体" w:eastAsia="楷体_GB2312" w:cs="楷体_GB2312"/>
          <w:b/>
          <w:color w:val="000000"/>
          <w:kern w:val="0"/>
          <w:sz w:val="31"/>
          <w:szCs w:val="31"/>
          <w:lang w:val="en-US" w:eastAsia="zh-CN" w:bidi="ar"/>
        </w:rPr>
      </w:pPr>
      <w:r>
        <w:rPr>
          <w:rFonts w:hint="eastAsia" w:ascii="楷体_GB2312" w:hAnsi="宋体" w:eastAsia="楷体_GB2312" w:cs="楷体_GB2312"/>
          <w:b/>
          <w:color w:val="000000"/>
          <w:kern w:val="0"/>
          <w:sz w:val="31"/>
          <w:szCs w:val="31"/>
          <w:lang w:val="en-US" w:eastAsia="zh-CN" w:bidi="ar"/>
        </w:rPr>
        <w:t xml:space="preserve">日常检查监督管理等情况。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宋体" w:eastAsia="黑体" w:cs="黑体"/>
          <w:color w:val="000000"/>
          <w:kern w:val="0"/>
          <w:sz w:val="31"/>
          <w:szCs w:val="31"/>
          <w:lang w:val="en-US" w:eastAsia="zh-CN" w:bidi="ar"/>
        </w:rPr>
      </w:pPr>
      <w:r>
        <w:rPr>
          <w:rFonts w:hint="eastAsia" w:ascii="Times New Roman" w:hAnsi="Times New Roman" w:eastAsia="仿宋_GB2312" w:cs="Times New Roman"/>
          <w:sz w:val="32"/>
          <w:szCs w:val="32"/>
          <w:lang w:eastAsia="zh-CN"/>
        </w:rPr>
        <w:t>我局制定了《专项资金管理暂行办法》，并严格按照制度执行，</w:t>
      </w:r>
      <w:r>
        <w:rPr>
          <w:rFonts w:hint="default" w:ascii="Times New Roman" w:hAnsi="Times New Roman" w:eastAsia="仿宋_GB2312" w:cs="Times New Roman"/>
          <w:sz w:val="32"/>
          <w:szCs w:val="32"/>
        </w:rPr>
        <w:t>采取事前、事中、事后相结合，日常监督和专项监督相结合的方式，对项目实施全过程监督管理。</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四、资产管理情况 </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实物资产管理实行“统一领导、归口管理”，固定资产实物管理工作归口财务科，坚持谁使用谁保管谁负责的原则，同时设立一名资产管理员负责建立实物资产台账、登记实物资产卡片，进行每月折旧和资产报废等工作，财务及时进行会计核算与对账，确保实物资产账实相符、账卡相符、账证相符、账账相符，落实财产保管责任。</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五、政府性基金预算支出情况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六、国有资本经营预算支出情况 </w:t>
      </w:r>
    </w:p>
    <w:p>
      <w:pPr>
        <w:keepNext w:val="0"/>
        <w:keepLines w:val="0"/>
        <w:widowControl/>
        <w:suppressLineNumbers w:val="0"/>
        <w:jc w:val="left"/>
        <w:rPr>
          <w:rFonts w:hint="default"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 xml:space="preserve">    </w:t>
      </w:r>
      <w:r>
        <w:rPr>
          <w:rFonts w:hint="eastAsia" w:ascii="Times New Roman" w:hAnsi="Times New Roman" w:eastAsia="仿宋_GB2312" w:cs="Times New Roman"/>
          <w:sz w:val="32"/>
          <w:szCs w:val="32"/>
          <w:lang w:val="en-US" w:eastAsia="zh-CN"/>
        </w:rPr>
        <w:t>无</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七、社会保险基金预算支出情况 </w:t>
      </w:r>
    </w:p>
    <w:p>
      <w:pPr>
        <w:keepNext w:val="0"/>
        <w:keepLines w:val="0"/>
        <w:pageBreakBefore w:val="0"/>
        <w:widowControl w:val="0"/>
        <w:kinsoku/>
        <w:wordWrap/>
        <w:overflowPunct/>
        <w:topLinePunct w:val="0"/>
        <w:autoSpaceDE/>
        <w:autoSpaceDN/>
        <w:bidi w:val="0"/>
        <w:adjustRightInd/>
        <w:snapToGrid/>
        <w:spacing w:line="600" w:lineRule="exact"/>
        <w:ind w:firstLine="310" w:firstLineChars="100"/>
        <w:jc w:val="left"/>
        <w:textAlignment w:val="auto"/>
        <w:rPr>
          <w:rFonts w:hint="default"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 xml:space="preserve">  </w:t>
      </w:r>
      <w:r>
        <w:rPr>
          <w:rFonts w:hint="eastAsia" w:ascii="Times New Roman" w:hAnsi="Times New Roman" w:eastAsia="仿宋_GB2312" w:cs="Times New Roman"/>
          <w:sz w:val="32"/>
          <w:szCs w:val="32"/>
          <w:lang w:val="en-US" w:eastAsia="zh-CN"/>
        </w:rPr>
        <w:t>无</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八、部门整体支出绩效情况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（一）经济性评价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left="0" w:right="0" w:firstLine="0"/>
        <w:textAlignment w:val="center"/>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　　2022年我单位严格控制预算支出，基本支出较好的控制在预算额度内，人员经费严格按标准支出，办公经费尚有结余。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（二）社会效益评价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一是重拳出击，自建房安全整治拆违行动攻坚克难。协同街道、部门对存在安全隐患的居民自建房、违法建设及其相关违规生产经营活动依法进行查处，有效推进了自建房等建筑领域安全整治工作落地见效，拆除了一批存在安全隐患、严重影响市容的历史违建。</w:t>
      </w:r>
    </w:p>
    <w:p>
      <w:pPr>
        <w:keepNext w:val="0"/>
        <w:keepLines w:val="0"/>
        <w:widowControl/>
        <w:suppressLineNumbers w:val="0"/>
        <w:ind w:firstLine="620" w:firstLineChars="200"/>
        <w:jc w:val="left"/>
        <w:rPr>
          <w:rFonts w:hint="eastAsia"/>
          <w:lang w:val="en-US" w:eastAsia="zh-CN"/>
        </w:rPr>
      </w:pPr>
      <w:r>
        <w:rPr>
          <w:rFonts w:hint="eastAsia" w:ascii="仿宋_GB2312" w:eastAsia="仿宋_GB2312" w:cs="仿宋_GB2312"/>
          <w:color w:val="000000"/>
          <w:kern w:val="0"/>
          <w:sz w:val="31"/>
          <w:szCs w:val="31"/>
          <w:lang w:val="en-US" w:eastAsia="zh-CN" w:bidi="ar"/>
        </w:rPr>
        <w:t>二是铁腕整治，安全生产百日攻坚专项执法强力展开。成立安全生产专项执法工作专班，协同配合监管部门及辖区街道开展安全生产执法工作，实行日小结周讲评，高频开展现场调度。多次开展安全生产执法专项整治行动，有效提高经营主体安全意识和防范能力。</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三是系统推进，市容环境秩序持续发力再提升。结合显性勤务机制，联合街道、社区等部门深入推进市容环境卫生责任制工作，强化前端治理，推进关口前移，全面铺开“门前三包”责任告知书、门店信息登记台帐、日常巡查监管记录以及“三单制”机制建设、分路段集体讲评、红黑榜等。加大对“门前三包”市容环境卫生违法行为的处罚力度。</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（三）满意度评价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黑体" w:hAnsi="宋体" w:eastAsia="黑体" w:cs="黑体"/>
          <w:color w:val="000000"/>
          <w:kern w:val="0"/>
          <w:sz w:val="31"/>
          <w:szCs w:val="31"/>
          <w:lang w:val="en-US" w:eastAsia="zh-CN" w:bidi="ar"/>
        </w:rPr>
      </w:pPr>
      <w:r>
        <w:rPr>
          <w:rFonts w:hint="eastAsia" w:ascii="Times New Roman" w:hAnsi="Times New Roman" w:eastAsia="仿宋_GB2312" w:cs="Times New Roman"/>
          <w:b w:val="0"/>
          <w:bCs w:val="0"/>
          <w:sz w:val="32"/>
          <w:szCs w:val="32"/>
          <w:lang w:eastAsia="zh-CN"/>
        </w:rPr>
        <w:t>高标准回应群众诉求</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sz w:val="32"/>
          <w:szCs w:val="32"/>
        </w:rPr>
        <w:t>2022年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共计接警13055件，按时办结率100%，平均回访满意率98.78%；</w:t>
      </w:r>
      <w:r>
        <w:rPr>
          <w:rFonts w:hint="eastAsia" w:ascii="Times New Roman" w:hAnsi="Times New Roman" w:eastAsia="仿宋_GB2312" w:cs="Times New Roman"/>
          <w:sz w:val="32"/>
          <w:szCs w:val="32"/>
          <w:lang w:eastAsia="zh-CN"/>
        </w:rPr>
        <w:t>受理</w:t>
      </w:r>
      <w:r>
        <w:rPr>
          <w:rFonts w:hint="eastAsia" w:ascii="Times New Roman" w:hAnsi="Times New Roman" w:eastAsia="仿宋_GB2312"/>
          <w:sz w:val="32"/>
          <w:szCs w:val="32"/>
          <w:lang w:eastAsia="zh-CN"/>
        </w:rPr>
        <w:t>“问政湖南”、网络</w:t>
      </w:r>
      <w:r>
        <w:rPr>
          <w:rFonts w:hint="eastAsia" w:ascii="Times New Roman" w:hAnsi="Times New Roman" w:eastAsia="仿宋_GB2312"/>
          <w:sz w:val="32"/>
          <w:szCs w:val="32"/>
        </w:rPr>
        <w:t>舆情、</w:t>
      </w:r>
      <w:r>
        <w:rPr>
          <w:rFonts w:hint="eastAsia" w:ascii="Times New Roman" w:hAnsi="Times New Roman" w:eastAsia="仿宋_GB2312"/>
          <w:sz w:val="32"/>
          <w:szCs w:val="32"/>
          <w:lang w:eastAsia="zh-CN"/>
        </w:rPr>
        <w:t>群众</w:t>
      </w:r>
      <w:r>
        <w:rPr>
          <w:rFonts w:hint="eastAsia" w:ascii="Times New Roman" w:hAnsi="Times New Roman" w:eastAsia="仿宋_GB2312"/>
          <w:sz w:val="32"/>
          <w:szCs w:val="32"/>
        </w:rPr>
        <w:t>信访</w:t>
      </w:r>
      <w:r>
        <w:rPr>
          <w:rFonts w:hint="eastAsia" w:ascii="Times New Roman" w:hAnsi="Times New Roman" w:eastAsia="仿宋_GB2312"/>
          <w:sz w:val="32"/>
          <w:szCs w:val="32"/>
          <w:lang w:val="en-US" w:eastAsia="zh-CN"/>
        </w:rPr>
        <w:t>142</w:t>
      </w:r>
      <w:r>
        <w:rPr>
          <w:rFonts w:hint="eastAsia" w:ascii="Times New Roman" w:hAnsi="Times New Roman" w:eastAsia="仿宋_GB2312"/>
          <w:sz w:val="32"/>
          <w:szCs w:val="32"/>
        </w:rPr>
        <w:t>件，</w:t>
      </w:r>
      <w:r>
        <w:rPr>
          <w:rFonts w:hint="eastAsia" w:ascii="Times New Roman" w:hAnsi="Times New Roman" w:eastAsia="仿宋_GB2312" w:cs="Times New Roman"/>
          <w:sz w:val="32"/>
          <w:szCs w:val="32"/>
          <w:lang w:eastAsia="zh-CN"/>
        </w:rPr>
        <w:t>均在法定时限内办结、反馈</w:t>
      </w:r>
      <w:r>
        <w:rPr>
          <w:rFonts w:hint="default" w:ascii="Times New Roman" w:hAnsi="Times New Roman" w:eastAsia="仿宋_GB2312" w:cs="Times New Roman"/>
          <w:sz w:val="32"/>
          <w:szCs w:val="32"/>
        </w:rPr>
        <w:t>。</w:t>
      </w:r>
    </w:p>
    <w:p>
      <w:pPr>
        <w:keepNext w:val="0"/>
        <w:keepLines w:val="0"/>
        <w:widowControl/>
        <w:numPr>
          <w:ilvl w:val="0"/>
          <w:numId w:val="0"/>
        </w:numPr>
        <w:suppressLineNumbers w:val="0"/>
        <w:ind w:firstLine="620" w:firstLineChars="200"/>
        <w:jc w:val="left"/>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 xml:space="preserve">九、存在的问题及原因分析 </w:t>
      </w:r>
    </w:p>
    <w:p>
      <w:pPr>
        <w:keepNext w:val="0"/>
        <w:keepLines w:val="0"/>
        <w:widowControl/>
        <w:numPr>
          <w:ilvl w:val="0"/>
          <w:numId w:val="0"/>
        </w:numPr>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绩效评价工作机制有待进一步完善，由于在平时工作中未加强对预算支出绩效监控工作的重视，此项工作容易滞后，不利于预算的有效执行。</w:t>
      </w:r>
    </w:p>
    <w:p>
      <w:pPr>
        <w:keepNext w:val="0"/>
        <w:keepLines w:val="0"/>
        <w:widowControl/>
        <w:numPr>
          <w:ilvl w:val="0"/>
          <w:numId w:val="0"/>
        </w:numPr>
        <w:suppressLineNumbers w:val="0"/>
        <w:ind w:leftChars="0"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 xml:space="preserve">十、下一步改进措施 </w:t>
      </w:r>
    </w:p>
    <w:p>
      <w:pPr>
        <w:keepNext w:val="0"/>
        <w:keepLines w:val="0"/>
        <w:widowControl/>
        <w:numPr>
          <w:ilvl w:val="0"/>
          <w:numId w:val="0"/>
        </w:numPr>
        <w:suppressLineNumbers w:val="0"/>
        <w:ind w:leftChars="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   按要求及时完成预算支出绩效监控工作，深入分析资金支出进度慢的具体原因，加快预算执行进度；结合行政执法工作的实际情况合理安排经费和各项资金，确保资金使用的效益最大化。</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十一、绩效自评结果拟应用和公开情况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s="黑体"/>
          <w:color w:val="000000"/>
          <w:kern w:val="0"/>
          <w:sz w:val="31"/>
          <w:szCs w:val="31"/>
          <w:lang w:val="en-US" w:eastAsia="zh-CN" w:bidi="ar"/>
        </w:rPr>
      </w:pPr>
      <w:r>
        <w:rPr>
          <w:rFonts w:hint="eastAsia" w:ascii="Times New Roman" w:hAnsi="Times New Roman" w:eastAsia="仿宋_GB2312" w:cs="Times New Roman"/>
          <w:color w:val="000000"/>
          <w:sz w:val="32"/>
          <w:szCs w:val="32"/>
          <w:lang w:eastAsia="zh-CN"/>
        </w:rPr>
        <w:t>我单位将以此次绩效自评结果作为本部门完善政策和改进管理的重要依据，并将绩效自评工作转化为提高本部门预算资金使用绩效的具体工作措施，我单位将绩效自评报告在政府门户网站上进行公开，接受社会监督。</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right"/>
        <w:textAlignment w:val="cente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长沙市芙蓉区行政执法</w:t>
      </w:r>
      <w:r>
        <w:rPr>
          <w:rFonts w:hint="eastAsia" w:eastAsia="仿宋_GB2312" w:cs="Times New Roman"/>
          <w:color w:val="000000"/>
          <w:kern w:val="2"/>
          <w:sz w:val="32"/>
          <w:szCs w:val="32"/>
          <w:lang w:val="en-US" w:eastAsia="zh-CN" w:bidi="ar-SA"/>
        </w:rPr>
        <w:t>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center"/>
        <w:textAlignment w:val="cente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 xml:space="preserve">                          </w:t>
      </w:r>
      <w:r>
        <w:rPr>
          <w:rFonts w:hint="eastAsia" w:eastAsia="仿宋_GB2312" w:cs="Times New Roman"/>
          <w:color w:val="000000"/>
          <w:kern w:val="2"/>
          <w:sz w:val="32"/>
          <w:szCs w:val="32"/>
          <w:lang w:val="en-US" w:eastAsia="zh-CN" w:bidi="ar-SA"/>
        </w:rPr>
        <w:t xml:space="preserve">  </w:t>
      </w:r>
      <w:r>
        <w:rPr>
          <w:rFonts w:hint="eastAsia" w:ascii="Times New Roman" w:hAnsi="Times New Roman" w:eastAsia="仿宋_GB2312" w:cs="Times New Roman"/>
          <w:color w:val="000000"/>
          <w:kern w:val="2"/>
          <w:sz w:val="32"/>
          <w:szCs w:val="32"/>
          <w:lang w:val="en-US" w:eastAsia="zh-CN" w:bidi="ar-SA"/>
        </w:rPr>
        <w:t>2023年6月2</w:t>
      </w:r>
      <w:r>
        <w:rPr>
          <w:rFonts w:hint="eastAsia" w:eastAsia="仿宋_GB2312" w:cs="Times New Roman"/>
          <w:color w:val="000000"/>
          <w:kern w:val="2"/>
          <w:sz w:val="32"/>
          <w:szCs w:val="32"/>
          <w:lang w:val="en-US" w:eastAsia="zh-CN" w:bidi="ar-SA"/>
        </w:rPr>
        <w:t>8</w:t>
      </w:r>
      <w:r>
        <w:rPr>
          <w:rFonts w:hint="eastAsia" w:ascii="Times New Roman" w:hAnsi="Times New Roman" w:eastAsia="仿宋_GB2312" w:cs="Times New Roman"/>
          <w:color w:val="000000"/>
          <w:kern w:val="2"/>
          <w:sz w:val="32"/>
          <w:szCs w:val="32"/>
          <w:lang w:val="en-US" w:eastAsia="zh-CN" w:bidi="ar-SA"/>
        </w:rPr>
        <w:t>日</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宋体-方正超大字符集"/>
    <w:panose1 w:val="02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27C7C"/>
    <w:rsid w:val="01C7023E"/>
    <w:rsid w:val="0B916055"/>
    <w:rsid w:val="10B60D63"/>
    <w:rsid w:val="13437E3A"/>
    <w:rsid w:val="160D0BEB"/>
    <w:rsid w:val="16E46E65"/>
    <w:rsid w:val="209D4F4E"/>
    <w:rsid w:val="22B423A3"/>
    <w:rsid w:val="24836BDE"/>
    <w:rsid w:val="26B4773B"/>
    <w:rsid w:val="27983418"/>
    <w:rsid w:val="29A70BBA"/>
    <w:rsid w:val="2D8029D0"/>
    <w:rsid w:val="2E0E6075"/>
    <w:rsid w:val="300202C4"/>
    <w:rsid w:val="34D419D4"/>
    <w:rsid w:val="3513053E"/>
    <w:rsid w:val="37A84372"/>
    <w:rsid w:val="44655CD4"/>
    <w:rsid w:val="49C26BBF"/>
    <w:rsid w:val="4B662498"/>
    <w:rsid w:val="4C4E104F"/>
    <w:rsid w:val="4CA1511B"/>
    <w:rsid w:val="50F468C9"/>
    <w:rsid w:val="5A9D08D6"/>
    <w:rsid w:val="5AC23E01"/>
    <w:rsid w:val="5F6423F1"/>
    <w:rsid w:val="61440764"/>
    <w:rsid w:val="625E52DD"/>
    <w:rsid w:val="629C193B"/>
    <w:rsid w:val="64C6074D"/>
    <w:rsid w:val="6B327C7C"/>
    <w:rsid w:val="6E060FAF"/>
    <w:rsid w:val="711508F7"/>
    <w:rsid w:val="715A3917"/>
    <w:rsid w:val="71DD6395"/>
    <w:rsid w:val="794C131B"/>
    <w:rsid w:val="7AB46B26"/>
    <w:rsid w:val="7ADB3921"/>
    <w:rsid w:val="7C227E1B"/>
    <w:rsid w:val="7C524828"/>
    <w:rsid w:val="7D776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styleId="3">
    <w:name w:val="Normal (Web)"/>
    <w:basedOn w:val="1"/>
    <w:unhideWhenUsed/>
    <w:qFormat/>
    <w:uiPriority w:val="99"/>
    <w:rPr>
      <w:rFonts w:ascii="Times New Roman" w:hAnsi="Times New Roman"/>
      <w:sz w:val="24"/>
    </w:rPr>
  </w:style>
  <w:style w:type="paragraph" w:styleId="6">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2023-06-28T01:51:00Z</dcterms:created>
  <dc:creator>lenovo</dc:creator>
  <cp:lastModifiedBy>lenovo</cp:lastModifiedBy>
  <cp:lastPrinted>2023-07-03T02:31:00Z</cp:lastPrinted>
  <dcterms:modified xsi:type="dcterms:W3CDTF">2023-10-08T08:38:57Z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