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方正小标宋简体" w:hAnsi="方正小标宋简体" w:eastAsia="方正小标宋简体" w:cs="方正小标宋简体"/>
          <w:color w:val="000000"/>
          <w:kern w:val="0"/>
          <w:sz w:val="43"/>
          <w:szCs w:val="43"/>
          <w:lang w:val="en-US" w:eastAsia="zh-CN" w:bidi="ar"/>
        </w:rPr>
      </w:pPr>
      <w:r>
        <w:rPr>
          <w:rFonts w:hint="default" w:ascii="Times New Roman" w:hAnsi="Times New Roman" w:eastAsia="宋体" w:cs="Times New Roman"/>
          <w:color w:val="000000"/>
          <w:kern w:val="0"/>
          <w:sz w:val="43"/>
          <w:szCs w:val="43"/>
          <w:lang w:val="en-US" w:eastAsia="zh-CN" w:bidi="ar"/>
        </w:rPr>
        <w:t>2022</w:t>
      </w:r>
      <w:r>
        <w:rPr>
          <w:rFonts w:ascii="方正小标宋简体" w:hAnsi="方正小标宋简体" w:eastAsia="方正小标宋简体" w:cs="方正小标宋简体"/>
          <w:color w:val="000000"/>
          <w:kern w:val="0"/>
          <w:sz w:val="43"/>
          <w:szCs w:val="43"/>
          <w:lang w:val="en-US" w:eastAsia="zh-CN" w:bidi="ar"/>
        </w:rPr>
        <w:t>年度</w:t>
      </w:r>
      <w:r>
        <w:rPr>
          <w:rFonts w:hint="eastAsia" w:ascii="方正小标宋简体" w:hAnsi="方正小标宋简体" w:eastAsia="方正小标宋简体" w:cs="方正小标宋简体"/>
          <w:color w:val="000000"/>
          <w:kern w:val="0"/>
          <w:sz w:val="43"/>
          <w:szCs w:val="43"/>
          <w:lang w:val="en-US" w:eastAsia="zh-CN" w:bidi="ar"/>
        </w:rPr>
        <w:t>长沙市芙蓉区行政执法大队</w:t>
      </w:r>
    </w:p>
    <w:p>
      <w:pPr>
        <w:keepNext w:val="0"/>
        <w:keepLines w:val="0"/>
        <w:widowControl/>
        <w:suppressLineNumbers w:val="0"/>
        <w:jc w:val="center"/>
      </w:pPr>
      <w:r>
        <w:rPr>
          <w:rFonts w:hint="default" w:ascii="方正小标宋简体" w:hAnsi="方正小标宋简体" w:eastAsia="方正小标宋简体" w:cs="方正小标宋简体"/>
          <w:color w:val="000000"/>
          <w:kern w:val="0"/>
          <w:sz w:val="43"/>
          <w:szCs w:val="43"/>
          <w:lang w:val="en-US" w:eastAsia="zh-CN" w:bidi="ar"/>
        </w:rPr>
        <w:t>部门整体支出绩效</w:t>
      </w:r>
      <w:r>
        <w:rPr>
          <w:rFonts w:hint="eastAsia" w:ascii="方正小标宋简体" w:hAnsi="方正小标宋简体" w:eastAsia="方正小标宋简体" w:cs="方正小标宋简体"/>
          <w:color w:val="000000"/>
          <w:kern w:val="0"/>
          <w:sz w:val="43"/>
          <w:szCs w:val="43"/>
          <w:lang w:val="en-US" w:eastAsia="zh-CN" w:bidi="ar"/>
        </w:rPr>
        <w:t>评价</w:t>
      </w:r>
      <w:bookmarkStart w:id="0" w:name="_GoBack"/>
      <w:bookmarkEnd w:id="0"/>
      <w:r>
        <w:rPr>
          <w:rFonts w:hint="default" w:ascii="方正小标宋简体" w:hAnsi="方正小标宋简体" w:eastAsia="方正小标宋简体" w:cs="方正小标宋简体"/>
          <w:color w:val="000000"/>
          <w:kern w:val="0"/>
          <w:sz w:val="43"/>
          <w:szCs w:val="43"/>
          <w:lang w:val="en-US" w:eastAsia="zh-CN" w:bidi="ar"/>
        </w:rPr>
        <w:t>报告</w:t>
      </w:r>
    </w:p>
    <w:p>
      <w:pPr>
        <w:keepNext w:val="0"/>
        <w:keepLines w:val="0"/>
        <w:widowControl/>
        <w:suppressLineNumbers w:val="0"/>
        <w:jc w:val="left"/>
        <w:rPr>
          <w:rFonts w:hint="eastAsia" w:ascii="黑体" w:hAnsi="宋体" w:eastAsia="黑体" w:cs="黑体"/>
          <w:color w:val="000000"/>
          <w:kern w:val="0"/>
          <w:sz w:val="31"/>
          <w:szCs w:val="31"/>
          <w:lang w:val="en-US" w:eastAsia="zh-CN" w:bidi="ar"/>
        </w:rPr>
      </w:pP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一、部门概况 </w:t>
      </w:r>
    </w:p>
    <w:p>
      <w:pPr>
        <w:keepNext w:val="0"/>
        <w:keepLines w:val="0"/>
        <w:widowControl/>
        <w:suppressLineNumbers w:val="0"/>
        <w:ind w:firstLine="622" w:firstLineChars="200"/>
        <w:jc w:val="left"/>
      </w:pPr>
      <w:r>
        <w:rPr>
          <w:rFonts w:hint="eastAsia" w:ascii="楷体_GB2312" w:hAnsi="宋体" w:eastAsia="楷体_GB2312" w:cs="楷体_GB2312"/>
          <w:b/>
          <w:color w:val="000000"/>
          <w:kern w:val="0"/>
          <w:sz w:val="31"/>
          <w:szCs w:val="31"/>
          <w:lang w:val="en-US" w:eastAsia="zh-CN" w:bidi="ar"/>
        </w:rPr>
        <w:t xml:space="preserve">（一）部门（单位）基本情况。 </w:t>
      </w:r>
    </w:p>
    <w:p>
      <w:pPr>
        <w:pStyle w:val="4"/>
        <w:widowControl/>
        <w:spacing w:line="570" w:lineRule="exact"/>
        <w:ind w:firstLine="640" w:firstLineChars="200"/>
        <w:jc w:val="left"/>
        <w:rPr>
          <w:rFonts w:hint="default" w:ascii="仿宋_GB2312" w:hAnsi="仿宋_GB2312" w:eastAsia="仿宋_GB2312" w:cs="仿宋_GB2312"/>
          <w:color w:val="000000"/>
          <w:sz w:val="32"/>
          <w:highlight w:val="none"/>
          <w:lang w:val="en-US" w:eastAsia="zh-CN"/>
        </w:rPr>
      </w:pPr>
      <w:r>
        <w:rPr>
          <w:rFonts w:hint="eastAsia" w:eastAsia="仿宋_GB2312"/>
          <w:sz w:val="32"/>
          <w:szCs w:val="32"/>
          <w:highlight w:val="none"/>
        </w:rPr>
        <w:t>1. 主要职能：</w:t>
      </w:r>
      <w:r>
        <w:rPr>
          <w:rFonts w:hint="eastAsia" w:ascii="仿宋_GB2312" w:hAnsi="仿宋_GB2312" w:eastAsia="仿宋_GB2312" w:cs="仿宋_GB2312"/>
          <w:color w:val="000000"/>
          <w:sz w:val="32"/>
          <w:highlight w:val="none"/>
          <w:lang w:val="en-US" w:eastAsia="zh-CN"/>
        </w:rPr>
        <w:t>长沙市芙蓉区行政执法大队为区行政执法局所属正科级公益一类全额拨款事业单位，集中行使城市管理领域、档案领域、民族宗教领域、发展和改革领域、教育领域、科技领域、工业和信息化领域、民政领域、司法行政领域、财政领域、人力资源社会保障领域、住房城乡建设领域、人民防空领域、林业领域、水利领域、商务领域、卫生健康领域、审计领域、退役军人事务管理领域、应急领域、市场监管领域、知识产权领域、统计领域、医疗保障领域的行政处罚权以及与之相关的行政强制权(仅限行政强制措施)、执法检查权。</w:t>
      </w:r>
    </w:p>
    <w:p>
      <w:pPr>
        <w:spacing w:line="560" w:lineRule="exact"/>
        <w:ind w:firstLine="640" w:firstLineChars="200"/>
        <w:rPr>
          <w:rFonts w:hint="eastAsia" w:eastAsia="仿宋_GB2312"/>
          <w:sz w:val="32"/>
          <w:szCs w:val="32"/>
        </w:rPr>
      </w:pPr>
      <w:r>
        <w:rPr>
          <w:rFonts w:hint="eastAsia" w:eastAsia="仿宋_GB2312"/>
          <w:sz w:val="32"/>
          <w:szCs w:val="32"/>
        </w:rPr>
        <w:t>2. 人员情况:</w:t>
      </w:r>
      <w:r>
        <w:rPr>
          <w:rFonts w:hint="eastAsia" w:eastAsia="仿宋_GB2312"/>
          <w:sz w:val="32"/>
          <w:szCs w:val="32"/>
          <w:lang w:val="en-US" w:eastAsia="zh-CN"/>
        </w:rPr>
        <w:t>芙蓉区行政执法</w:t>
      </w:r>
      <w:r>
        <w:rPr>
          <w:rFonts w:hint="eastAsia" w:eastAsia="仿宋_GB2312"/>
          <w:sz w:val="32"/>
          <w:szCs w:val="32"/>
          <w:lang w:eastAsia="zh-CN"/>
        </w:rPr>
        <w:t>大队</w:t>
      </w:r>
      <w:r>
        <w:rPr>
          <w:rFonts w:hint="eastAsia" w:eastAsia="仿宋_GB2312"/>
          <w:sz w:val="32"/>
          <w:szCs w:val="32"/>
        </w:rPr>
        <w:t>编制数</w:t>
      </w:r>
      <w:r>
        <w:rPr>
          <w:rFonts w:hint="eastAsia" w:eastAsia="仿宋_GB2312"/>
          <w:sz w:val="32"/>
          <w:szCs w:val="32"/>
          <w:lang w:val="en-US" w:eastAsia="zh-CN"/>
        </w:rPr>
        <w:t>390</w:t>
      </w:r>
      <w:r>
        <w:rPr>
          <w:rFonts w:hint="eastAsia" w:eastAsia="仿宋_GB2312"/>
          <w:sz w:val="32"/>
          <w:szCs w:val="32"/>
        </w:rPr>
        <w:t>名</w:t>
      </w:r>
      <w:r>
        <w:rPr>
          <w:rFonts w:hint="eastAsia" w:eastAsia="仿宋_GB2312"/>
          <w:sz w:val="32"/>
          <w:szCs w:val="32"/>
          <w:lang w:eastAsia="zh-CN"/>
        </w:rPr>
        <w:t>，</w:t>
      </w:r>
      <w:r>
        <w:rPr>
          <w:rFonts w:hint="eastAsia" w:eastAsia="仿宋_GB2312"/>
          <w:sz w:val="32"/>
          <w:szCs w:val="32"/>
        </w:rPr>
        <w:t>年末实有人数</w:t>
      </w:r>
      <w:r>
        <w:rPr>
          <w:rFonts w:hint="eastAsia" w:eastAsia="仿宋_GB2312"/>
          <w:sz w:val="32"/>
          <w:szCs w:val="32"/>
          <w:lang w:val="en-US" w:eastAsia="zh-CN"/>
        </w:rPr>
        <w:t>257</w:t>
      </w:r>
      <w:r>
        <w:rPr>
          <w:rFonts w:hint="eastAsia" w:eastAsia="仿宋_GB2312"/>
          <w:sz w:val="32"/>
          <w:szCs w:val="32"/>
        </w:rPr>
        <w:t>名</w:t>
      </w:r>
      <w:r>
        <w:rPr>
          <w:rFonts w:hint="eastAsia" w:eastAsia="仿宋_GB2312"/>
          <w:sz w:val="32"/>
          <w:szCs w:val="32"/>
          <w:lang w:eastAsia="zh-CN"/>
        </w:rPr>
        <w:t>，</w:t>
      </w:r>
      <w:r>
        <w:rPr>
          <w:rFonts w:hint="eastAsia" w:eastAsia="仿宋_GB2312"/>
          <w:sz w:val="32"/>
          <w:szCs w:val="32"/>
          <w:highlight w:val="none"/>
          <w:lang w:eastAsia="zh-CN"/>
        </w:rPr>
        <w:t>其中工勤人员</w:t>
      </w:r>
      <w:r>
        <w:rPr>
          <w:rFonts w:hint="eastAsia" w:eastAsia="仿宋_GB2312"/>
          <w:sz w:val="32"/>
          <w:szCs w:val="32"/>
          <w:highlight w:val="none"/>
          <w:lang w:val="en-US" w:eastAsia="zh-CN"/>
        </w:rPr>
        <w:t>18人，事业编人员27人，</w:t>
      </w:r>
      <w:r>
        <w:rPr>
          <w:rFonts w:ascii="仿宋_GB2312" w:hAnsi="宋体" w:eastAsia="仿宋_GB2312" w:cs="仿宋_GB2312"/>
          <w:i w:val="0"/>
          <w:caps w:val="0"/>
          <w:color w:val="333333"/>
          <w:spacing w:val="0"/>
          <w:sz w:val="30"/>
          <w:szCs w:val="30"/>
          <w:highlight w:val="none"/>
          <w:shd w:val="clear" w:fill="FFFFFF"/>
        </w:rPr>
        <w:t>参公登记</w:t>
      </w:r>
      <w:r>
        <w:rPr>
          <w:rFonts w:hint="eastAsia" w:eastAsia="仿宋_GB2312"/>
          <w:sz w:val="32"/>
          <w:szCs w:val="32"/>
          <w:highlight w:val="none"/>
          <w:lang w:val="en-US" w:eastAsia="zh-CN"/>
        </w:rPr>
        <w:t>人员212人</w:t>
      </w:r>
      <w:r>
        <w:rPr>
          <w:rFonts w:hint="eastAsia" w:eastAsia="仿宋_GB2312"/>
          <w:sz w:val="32"/>
          <w:szCs w:val="32"/>
          <w:highlight w:val="none"/>
        </w:rPr>
        <w:t>。</w:t>
      </w:r>
      <w:r>
        <w:rPr>
          <w:rFonts w:hint="eastAsia" w:eastAsia="仿宋_GB2312"/>
          <w:sz w:val="32"/>
          <w:szCs w:val="32"/>
        </w:rPr>
        <w:t>另有</w:t>
      </w:r>
      <w:r>
        <w:rPr>
          <w:rFonts w:hint="eastAsia" w:eastAsia="仿宋_GB2312"/>
          <w:sz w:val="32"/>
          <w:szCs w:val="32"/>
          <w:lang w:eastAsia="zh-CN"/>
        </w:rPr>
        <w:t>合同制聘用</w:t>
      </w:r>
      <w:r>
        <w:rPr>
          <w:rFonts w:hint="eastAsia" w:eastAsia="仿宋_GB2312"/>
          <w:sz w:val="32"/>
          <w:szCs w:val="32"/>
        </w:rPr>
        <w:t>人员</w:t>
      </w:r>
      <w:r>
        <w:rPr>
          <w:rFonts w:hint="eastAsia" w:eastAsia="仿宋_GB2312"/>
          <w:sz w:val="32"/>
          <w:szCs w:val="32"/>
          <w:lang w:val="en-US" w:eastAsia="zh-CN"/>
        </w:rPr>
        <w:t>97</w:t>
      </w:r>
      <w:r>
        <w:rPr>
          <w:rFonts w:hint="eastAsia" w:eastAsia="仿宋_GB2312"/>
          <w:sz w:val="32"/>
          <w:szCs w:val="32"/>
        </w:rPr>
        <w:t>人。 </w:t>
      </w:r>
    </w:p>
    <w:p>
      <w:pPr>
        <w:pStyle w:val="4"/>
        <w:widowControl/>
        <w:spacing w:line="570" w:lineRule="exact"/>
        <w:ind w:firstLine="640" w:firstLineChars="200"/>
        <w:jc w:val="left"/>
        <w:rPr>
          <w:rFonts w:hint="eastAsia" w:eastAsia="仿宋_GB2312"/>
          <w:lang w:val="en-US" w:eastAsia="zh-CN"/>
        </w:rPr>
      </w:pPr>
      <w:r>
        <w:rPr>
          <w:rFonts w:hint="eastAsia" w:eastAsia="仿宋_GB2312" w:asciiTheme="minorHAnsi" w:hAnsiTheme="minorHAnsi" w:cstheme="minorBidi"/>
          <w:color w:val="auto"/>
          <w:kern w:val="2"/>
          <w:sz w:val="32"/>
          <w:szCs w:val="32"/>
          <w:lang w:val="en-US" w:eastAsia="zh-CN" w:bidi="ar-SA"/>
        </w:rPr>
        <w:t>3.</w:t>
      </w:r>
      <w:r>
        <w:rPr>
          <w:rFonts w:hint="eastAsia" w:eastAsia="仿宋_GB2312"/>
          <w:sz w:val="32"/>
          <w:szCs w:val="32"/>
          <w:lang w:val="en-US" w:eastAsia="zh-CN"/>
        </w:rPr>
        <w:t xml:space="preserve"> </w:t>
      </w:r>
      <w:r>
        <w:rPr>
          <w:rFonts w:hint="eastAsia" w:eastAsia="仿宋_GB2312"/>
          <w:sz w:val="32"/>
          <w:szCs w:val="32"/>
        </w:rPr>
        <w:t>内设机构设置</w:t>
      </w:r>
      <w:r>
        <w:rPr>
          <w:rFonts w:hint="eastAsia" w:eastAsia="仿宋_GB2312"/>
          <w:sz w:val="32"/>
          <w:szCs w:val="32"/>
          <w:lang w:eastAsia="zh-CN"/>
        </w:rPr>
        <w:t>：</w:t>
      </w:r>
      <w:r>
        <w:rPr>
          <w:rFonts w:hint="eastAsia" w:ascii="仿宋_GB2312" w:hAnsi="仿宋_GB2312" w:eastAsia="仿宋_GB2312" w:cs="仿宋_GB2312"/>
          <w:color w:val="000000"/>
          <w:sz w:val="32"/>
          <w:lang w:val="en-US" w:eastAsia="zh-CN"/>
        </w:rPr>
        <w:t>根据编办核定，长沙市芙蓉区行政执法大队包括本级，内设科室2个，分别是办公室、法制科，二级事业单位16个，分别是芙蓉区定王台行政执法中队、芙蓉区朝阳行政执法中队、芙蓉区文艺路行政执法中队、芙蓉区韭菜园行政执法中队、芙蓉区五里牌行政执法中队、芙蓉区湘湖行政执法中队、芙蓉区火星行政执法中队、芙蓉区马王堆行政执法中队、芙蓉区荷花园行政执法中队、芙蓉区东屯渡行政执法中队、芙蓉区马坡岭行政执法中队、芙蓉区东湖行政执法中队、芙蓉区东岸行政执法中队、芙蓉区直属行政执法中队、芙蓉区火车站广场行政执法中队、芙蓉区应急管理综合行政执法中队。</w:t>
      </w:r>
    </w:p>
    <w:p>
      <w:pPr>
        <w:keepNext w:val="0"/>
        <w:keepLines w:val="0"/>
        <w:widowControl/>
        <w:suppressLineNumbers w:val="0"/>
        <w:ind w:firstLine="622" w:firstLineChars="200"/>
        <w:jc w:val="left"/>
      </w:pPr>
      <w:r>
        <w:rPr>
          <w:rFonts w:hint="eastAsia" w:ascii="楷体_GB2312" w:hAnsi="宋体" w:eastAsia="楷体_GB2312" w:cs="楷体_GB2312"/>
          <w:b/>
          <w:color w:val="000000"/>
          <w:kern w:val="0"/>
          <w:sz w:val="31"/>
          <w:szCs w:val="31"/>
          <w:lang w:val="en-US" w:eastAsia="zh-CN" w:bidi="ar"/>
        </w:rPr>
        <w:t xml:space="preserve">（二）部门（单位）整体支出规模、使用方向和主要内容、 </w:t>
      </w:r>
    </w:p>
    <w:p>
      <w:pPr>
        <w:keepNext w:val="0"/>
        <w:keepLines w:val="0"/>
        <w:widowControl/>
        <w:suppressLineNumbers w:val="0"/>
        <w:jc w:val="left"/>
      </w:pPr>
      <w:r>
        <w:rPr>
          <w:rFonts w:hint="eastAsia" w:ascii="楷体_GB2312" w:hAnsi="宋体" w:eastAsia="楷体_GB2312" w:cs="楷体_GB2312"/>
          <w:b/>
          <w:color w:val="000000"/>
          <w:kern w:val="0"/>
          <w:sz w:val="31"/>
          <w:szCs w:val="31"/>
          <w:lang w:val="en-US" w:eastAsia="zh-CN" w:bidi="ar"/>
        </w:rPr>
        <w:t xml:space="preserve">涉及范围等。 </w:t>
      </w:r>
    </w:p>
    <w:p>
      <w:pPr>
        <w:keepNext w:val="0"/>
        <w:keepLines w:val="0"/>
        <w:widowControl/>
        <w:suppressLineNumbers w:val="0"/>
        <w:ind w:firstLine="640" w:firstLineChars="200"/>
        <w:jc w:val="left"/>
        <w:rPr>
          <w:rFonts w:hint="eastAsia" w:ascii="仿宋_GB2312" w:hAnsi="仿宋_GB2312" w:eastAsia="仿宋_GB2312" w:cs="仿宋_GB2312"/>
          <w:color w:val="000000"/>
          <w:kern w:val="0"/>
          <w:sz w:val="32"/>
          <w:szCs w:val="21"/>
          <w:lang w:val="en-US" w:eastAsia="zh-CN" w:bidi="ar-SA"/>
        </w:rPr>
      </w:pPr>
      <w:r>
        <w:rPr>
          <w:rFonts w:hint="eastAsia" w:ascii="仿宋_GB2312" w:hAnsi="仿宋_GB2312" w:eastAsia="仿宋_GB2312" w:cs="仿宋_GB2312"/>
          <w:color w:val="000000"/>
          <w:kern w:val="0"/>
          <w:sz w:val="32"/>
          <w:szCs w:val="21"/>
          <w:lang w:val="en-US" w:eastAsia="zh-CN" w:bidi="ar-SA"/>
        </w:rPr>
        <w:t>2022年预算批复10291.11万元，全年实际到位资金8868.19万元；实际支出8868.19万元，其中基本支出8536.6万元，项目支出331.59万元；上年结余0万元，本年结余0万元。</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二、一般公共预算支出情况 </w:t>
      </w:r>
    </w:p>
    <w:p>
      <w:pPr>
        <w:keepNext w:val="0"/>
        <w:keepLines w:val="0"/>
        <w:widowControl/>
        <w:suppressLineNumbers w:val="0"/>
        <w:ind w:firstLine="622" w:firstLineChars="200"/>
        <w:jc w:val="left"/>
      </w:pPr>
      <w:r>
        <w:rPr>
          <w:rFonts w:hint="eastAsia" w:ascii="楷体_GB2312" w:hAnsi="宋体" w:eastAsia="楷体_GB2312" w:cs="楷体_GB2312"/>
          <w:b/>
          <w:color w:val="000000"/>
          <w:kern w:val="0"/>
          <w:sz w:val="31"/>
          <w:szCs w:val="31"/>
          <w:lang w:val="en-US" w:eastAsia="zh-CN" w:bidi="ar"/>
        </w:rPr>
        <w:t xml:space="preserve">（一）基本支出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color w:val="000000"/>
          <w:kern w:val="0"/>
          <w:sz w:val="32"/>
          <w:szCs w:val="21"/>
          <w:lang w:val="en-US" w:eastAsia="zh-CN" w:bidi="ar-SA"/>
        </w:rPr>
        <w:t>基本支出年初预算数为9209.71万元，实际支出8536.6万元，是指为保障单位机构运转、完成日常工作任务而发生的各项支出，包括基本工资、津贴补贴等人员经费以及办公费、委托业务费、印刷费、水电费、办公设备购置费等日常公用经费。</w:t>
      </w:r>
    </w:p>
    <w:tbl>
      <w:tblPr>
        <w:tblStyle w:val="6"/>
        <w:tblpPr w:leftFromText="180" w:rightFromText="180" w:vertAnchor="text" w:horzAnchor="page" w:tblpX="2082" w:tblpY="291"/>
        <w:tblOverlap w:val="never"/>
        <w:tblW w:w="7899" w:type="dxa"/>
        <w:tblInd w:w="0" w:type="dxa"/>
        <w:shd w:val="clear" w:color="auto" w:fill="auto"/>
        <w:tblLayout w:type="autofit"/>
        <w:tblCellMar>
          <w:top w:w="0" w:type="dxa"/>
          <w:left w:w="0" w:type="dxa"/>
          <w:bottom w:w="0" w:type="dxa"/>
          <w:right w:w="0" w:type="dxa"/>
        </w:tblCellMar>
      </w:tblPr>
      <w:tblGrid>
        <w:gridCol w:w="1510"/>
        <w:gridCol w:w="4495"/>
        <w:gridCol w:w="1894"/>
      </w:tblGrid>
      <w:tr>
        <w:tblPrEx>
          <w:shd w:val="clear" w:color="auto" w:fill="auto"/>
          <w:tblCellMar>
            <w:top w:w="0" w:type="dxa"/>
            <w:left w:w="0" w:type="dxa"/>
            <w:bottom w:w="0" w:type="dxa"/>
            <w:right w:w="0" w:type="dxa"/>
          </w:tblCellMar>
        </w:tblPrEx>
        <w:trPr>
          <w:trHeight w:val="338" w:hRule="atLeast"/>
        </w:trPr>
        <w:tc>
          <w:tcPr>
            <w:tcW w:w="60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left"/>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类别</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金额（万元）</w:t>
            </w:r>
          </w:p>
        </w:tc>
      </w:tr>
      <w:tr>
        <w:tblPrEx>
          <w:tblCellMar>
            <w:top w:w="0" w:type="dxa"/>
            <w:left w:w="0" w:type="dxa"/>
            <w:bottom w:w="0" w:type="dxa"/>
            <w:right w:w="0" w:type="dxa"/>
          </w:tblCellMar>
        </w:tblPrEx>
        <w:trPr>
          <w:trHeight w:val="487" w:hRule="atLeast"/>
        </w:trPr>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基本支出使用金额</w:t>
            </w:r>
          </w:p>
        </w:tc>
        <w:tc>
          <w:tcPr>
            <w:tcW w:w="4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left"/>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工资福利支出</w:t>
            </w:r>
          </w:p>
        </w:tc>
        <w:tc>
          <w:tcPr>
            <w:tcW w:w="1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left"/>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7836.37</w:t>
            </w:r>
          </w:p>
        </w:tc>
      </w:tr>
      <w:tr>
        <w:tblPrEx>
          <w:tblCellMar>
            <w:top w:w="0" w:type="dxa"/>
            <w:left w:w="0" w:type="dxa"/>
            <w:bottom w:w="0" w:type="dxa"/>
            <w:right w:w="0" w:type="dxa"/>
          </w:tblCellMar>
        </w:tblPrEx>
        <w:trPr>
          <w:trHeight w:val="487" w:hRule="atLeast"/>
        </w:trPr>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left"/>
              <w:textAlignment w:val="auto"/>
              <w:rPr>
                <w:rFonts w:hint="eastAsia" w:ascii="Times New Roman" w:hAnsi="Times New Roman" w:eastAsia="仿宋_GB2312" w:cs="Times New Roman"/>
                <w:sz w:val="30"/>
                <w:szCs w:val="30"/>
                <w:lang w:val="en-US" w:eastAsia="zh-CN"/>
              </w:rPr>
            </w:pPr>
          </w:p>
        </w:tc>
        <w:tc>
          <w:tcPr>
            <w:tcW w:w="4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left"/>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商品和服务支出</w:t>
            </w:r>
          </w:p>
        </w:tc>
        <w:tc>
          <w:tcPr>
            <w:tcW w:w="1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left"/>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514.85</w:t>
            </w:r>
          </w:p>
        </w:tc>
      </w:tr>
      <w:tr>
        <w:tblPrEx>
          <w:tblCellMar>
            <w:top w:w="0" w:type="dxa"/>
            <w:left w:w="0" w:type="dxa"/>
            <w:bottom w:w="0" w:type="dxa"/>
            <w:right w:w="0" w:type="dxa"/>
          </w:tblCellMar>
        </w:tblPrEx>
        <w:trPr>
          <w:trHeight w:val="487" w:hRule="atLeast"/>
        </w:trPr>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left"/>
              <w:textAlignment w:val="auto"/>
              <w:rPr>
                <w:rFonts w:hint="eastAsia" w:ascii="Times New Roman" w:hAnsi="Times New Roman" w:eastAsia="仿宋_GB2312" w:cs="Times New Roman"/>
                <w:sz w:val="30"/>
                <w:szCs w:val="30"/>
                <w:lang w:val="en-US" w:eastAsia="zh-CN"/>
              </w:rPr>
            </w:pPr>
          </w:p>
        </w:tc>
        <w:tc>
          <w:tcPr>
            <w:tcW w:w="4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left"/>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对个人和家庭的补助</w:t>
            </w:r>
          </w:p>
        </w:tc>
        <w:tc>
          <w:tcPr>
            <w:tcW w:w="1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left"/>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177.86</w:t>
            </w:r>
          </w:p>
        </w:tc>
      </w:tr>
      <w:tr>
        <w:tblPrEx>
          <w:tblCellMar>
            <w:top w:w="0" w:type="dxa"/>
            <w:left w:w="0" w:type="dxa"/>
            <w:bottom w:w="0" w:type="dxa"/>
            <w:right w:w="0" w:type="dxa"/>
          </w:tblCellMar>
        </w:tblPrEx>
        <w:trPr>
          <w:trHeight w:val="487" w:hRule="atLeast"/>
        </w:trPr>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left"/>
              <w:textAlignment w:val="auto"/>
              <w:rPr>
                <w:rFonts w:hint="eastAsia" w:ascii="Times New Roman" w:hAnsi="Times New Roman" w:eastAsia="仿宋_GB2312" w:cs="Times New Roman"/>
                <w:sz w:val="30"/>
                <w:szCs w:val="30"/>
                <w:lang w:val="en-US" w:eastAsia="zh-CN"/>
              </w:rPr>
            </w:pPr>
          </w:p>
        </w:tc>
        <w:tc>
          <w:tcPr>
            <w:tcW w:w="4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left"/>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资本性支出</w:t>
            </w:r>
          </w:p>
        </w:tc>
        <w:tc>
          <w:tcPr>
            <w:tcW w:w="1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left"/>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7.52</w:t>
            </w:r>
          </w:p>
        </w:tc>
      </w:tr>
      <w:tr>
        <w:tblPrEx>
          <w:tblCellMar>
            <w:top w:w="0" w:type="dxa"/>
            <w:left w:w="0" w:type="dxa"/>
            <w:bottom w:w="0" w:type="dxa"/>
            <w:right w:w="0" w:type="dxa"/>
          </w:tblCellMar>
        </w:tblPrEx>
        <w:trPr>
          <w:trHeight w:val="497" w:hRule="atLeast"/>
        </w:trPr>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left"/>
              <w:textAlignment w:val="auto"/>
              <w:rPr>
                <w:rFonts w:hint="eastAsia" w:ascii="Times New Roman" w:hAnsi="Times New Roman" w:eastAsia="仿宋_GB2312" w:cs="Times New Roman"/>
                <w:sz w:val="30"/>
                <w:szCs w:val="30"/>
                <w:lang w:val="en-US" w:eastAsia="zh-CN"/>
              </w:rPr>
            </w:pPr>
          </w:p>
        </w:tc>
        <w:tc>
          <w:tcPr>
            <w:tcW w:w="4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left"/>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基本支出决算</w:t>
            </w:r>
          </w:p>
        </w:tc>
        <w:tc>
          <w:tcPr>
            <w:tcW w:w="1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2"/>
                <w:szCs w:val="32"/>
                <w:lang w:val="en-US" w:eastAsia="zh-CN"/>
              </w:rPr>
              <w:t>8536.6</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21"/>
          <w:lang w:val="en-US" w:eastAsia="zh-CN" w:bidi="ar-SA"/>
        </w:rPr>
      </w:pPr>
      <w:r>
        <w:rPr>
          <w:rFonts w:hint="eastAsia" w:ascii="仿宋_GB2312" w:hAnsi="仿宋_GB2312" w:eastAsia="仿宋_GB2312" w:cs="仿宋_GB2312"/>
          <w:color w:val="000000"/>
          <w:kern w:val="0"/>
          <w:sz w:val="32"/>
          <w:szCs w:val="21"/>
          <w:lang w:val="en-US" w:eastAsia="zh-CN" w:bidi="ar-SA"/>
        </w:rPr>
        <w:t>“三公”经费年初预算数为199万元，实际支出82.93万元，其中公务用车运行维护费80.14万元；公务用车购置费2.79万元；公务接待费0万元。公务用车运行维护费相较于上年度减少43.63%，减少原因是本年度厉行节约，严格控制车辆运维经费支出；公务用车购置费较上年减少50.32万元，原因是2021年支出5台车辆的购置费用，2022年支出上一年度购置车辆的质保金；公务接待费与上年持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color w:val="000000"/>
          <w:kern w:val="0"/>
          <w:sz w:val="32"/>
          <w:szCs w:val="21"/>
          <w:lang w:val="en-US" w:eastAsia="zh-CN" w:bidi="ar-SA"/>
        </w:rPr>
      </w:pPr>
      <w:r>
        <w:rPr>
          <w:rFonts w:hint="eastAsia" w:ascii="仿宋_GB2312" w:hAnsi="仿宋_GB2312" w:eastAsia="仿宋_GB2312" w:cs="仿宋_GB2312"/>
          <w:color w:val="000000"/>
          <w:kern w:val="0"/>
          <w:sz w:val="32"/>
          <w:szCs w:val="21"/>
          <w:lang w:val="en-US" w:eastAsia="zh-CN" w:bidi="ar-SA"/>
        </w:rPr>
        <w:t>大队对公车运行费用实行定点维修、定点加油、统一保险等制度。</w:t>
      </w:r>
    </w:p>
    <w:p>
      <w:pPr>
        <w:keepNext w:val="0"/>
        <w:keepLines w:val="0"/>
        <w:widowControl/>
        <w:suppressLineNumbers w:val="0"/>
        <w:ind w:firstLine="622" w:firstLineChars="200"/>
        <w:jc w:val="left"/>
      </w:pPr>
      <w:r>
        <w:rPr>
          <w:rFonts w:hint="eastAsia" w:ascii="楷体_GB2312" w:hAnsi="宋体" w:eastAsia="楷体_GB2312" w:cs="楷体_GB2312"/>
          <w:b/>
          <w:color w:val="000000"/>
          <w:kern w:val="0"/>
          <w:sz w:val="31"/>
          <w:szCs w:val="31"/>
          <w:lang w:val="en-US" w:eastAsia="zh-CN" w:bidi="ar"/>
        </w:rPr>
        <w:t xml:space="preserve">（二）项目支出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21"/>
          <w:lang w:val="en-US" w:eastAsia="zh-CN" w:bidi="ar-SA"/>
        </w:rPr>
      </w:pPr>
      <w:r>
        <w:rPr>
          <w:rFonts w:hint="default" w:ascii="仿宋_GB2312" w:hAnsi="仿宋_GB2312" w:eastAsia="仿宋_GB2312" w:cs="仿宋_GB2312"/>
          <w:color w:val="000000"/>
          <w:kern w:val="0"/>
          <w:sz w:val="32"/>
          <w:szCs w:val="21"/>
          <w:lang w:val="en-US" w:eastAsia="zh-CN" w:bidi="ar-SA"/>
        </w:rPr>
        <w:t>1.</w:t>
      </w:r>
      <w:r>
        <w:rPr>
          <w:rFonts w:hint="eastAsia" w:ascii="仿宋_GB2312" w:hAnsi="仿宋_GB2312" w:eastAsia="仿宋_GB2312" w:cs="仿宋_GB2312"/>
          <w:color w:val="000000"/>
          <w:kern w:val="0"/>
          <w:sz w:val="32"/>
          <w:szCs w:val="21"/>
          <w:lang w:val="en-US" w:eastAsia="zh-CN" w:bidi="ar-SA"/>
        </w:rPr>
        <w:t xml:space="preserve">项目资金（包括财政资金、自筹资金等）安排落实、总投入等情况分析。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color w:val="000000"/>
          <w:kern w:val="0"/>
          <w:sz w:val="32"/>
          <w:szCs w:val="21"/>
          <w:lang w:val="en-US" w:eastAsia="zh-CN" w:bidi="ar-SA"/>
        </w:rPr>
      </w:pPr>
      <w:r>
        <w:rPr>
          <w:rFonts w:hint="eastAsia" w:ascii="仿宋_GB2312" w:hAnsi="仿宋_GB2312" w:eastAsia="仿宋_GB2312" w:cs="仿宋_GB2312"/>
          <w:color w:val="000000"/>
          <w:kern w:val="0"/>
          <w:sz w:val="32"/>
          <w:szCs w:val="21"/>
          <w:lang w:val="en-US" w:eastAsia="zh-CN" w:bidi="ar-SA"/>
        </w:rPr>
        <w:t>年初项目经费预算1081.4万元，财政实际安排691.82万元，于年中追加项目经费5.46万元，上年度结转项目资金10.04万元，本年度共安排项目经费707.32万元。其中：长财外指[2021]035号下达2021年省级市场监督补助专项资金5.47万元；长财外指［2021］023号下达2020年度食品安全工作考核奖励资金0.5万元；长财社指[2021]038号下达2021年公益性岗位在职企业军转干部社保补贴资金1.52万元；长财社指[2022]0012号下达2022年公益性岗位在职企业军转干部社保补贴资金2.77万元；长财资环指[2021]076号下达2021年公益性岗位企业军转干部专项经费2.55万元；非税罚没收入弥补执法经费不足项目资金年初预算1081.4万元，实际安排691.82万元；教育考试中心转各单位三考护考劳务费2万元；区政法委转行政执法大队疫情防控宣传设备经费0.69万元。</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2.</w:t>
      </w:r>
      <w:r>
        <w:rPr>
          <w:rFonts w:hint="eastAsia" w:ascii="仿宋_GB2312" w:hAnsi="宋体" w:eastAsia="仿宋_GB2312" w:cs="仿宋_GB2312"/>
          <w:color w:val="000000"/>
          <w:kern w:val="0"/>
          <w:sz w:val="31"/>
          <w:szCs w:val="31"/>
          <w:lang w:val="en-US" w:eastAsia="zh-CN" w:bidi="ar"/>
        </w:rPr>
        <w:t xml:space="preserve">项目资金（主要指财政资金）实际使用情况分析。 </w:t>
      </w:r>
    </w:p>
    <w:tbl>
      <w:tblPr>
        <w:tblStyle w:val="6"/>
        <w:tblW w:w="9261" w:type="dxa"/>
        <w:tblInd w:w="0" w:type="dxa"/>
        <w:shd w:val="clear" w:color="auto" w:fill="auto"/>
        <w:tblLayout w:type="fixed"/>
        <w:tblCellMar>
          <w:top w:w="0" w:type="dxa"/>
          <w:left w:w="0" w:type="dxa"/>
          <w:bottom w:w="0" w:type="dxa"/>
          <w:right w:w="0" w:type="dxa"/>
        </w:tblCellMar>
      </w:tblPr>
      <w:tblGrid>
        <w:gridCol w:w="849"/>
        <w:gridCol w:w="2399"/>
        <w:gridCol w:w="1258"/>
        <w:gridCol w:w="4755"/>
      </w:tblGrid>
      <w:tr>
        <w:tblPrEx>
          <w:shd w:val="clear" w:color="auto" w:fill="auto"/>
          <w:tblCellMar>
            <w:top w:w="0" w:type="dxa"/>
            <w:left w:w="0" w:type="dxa"/>
            <w:bottom w:w="0" w:type="dxa"/>
            <w:right w:w="0" w:type="dxa"/>
          </w:tblCellMar>
        </w:tblPrEx>
        <w:trPr>
          <w:trHeight w:val="520"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序号</w:t>
            </w:r>
          </w:p>
        </w:tc>
        <w:tc>
          <w:tcPr>
            <w:tcW w:w="2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支出金额（万元）</w:t>
            </w:r>
          </w:p>
        </w:tc>
        <w:tc>
          <w:tcPr>
            <w:tcW w:w="4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用途</w:t>
            </w:r>
          </w:p>
        </w:tc>
      </w:tr>
      <w:tr>
        <w:tblPrEx>
          <w:tblCellMar>
            <w:top w:w="0" w:type="dxa"/>
            <w:left w:w="0" w:type="dxa"/>
            <w:bottom w:w="0" w:type="dxa"/>
            <w:right w:w="0" w:type="dxa"/>
          </w:tblCellMar>
        </w:tblPrEx>
        <w:trPr>
          <w:trHeight w:val="980"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2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长财外指[2021]035号下达2021年省级市场监督补助专项资金</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2.92</w:t>
            </w:r>
          </w:p>
        </w:tc>
        <w:tc>
          <w:tcPr>
            <w:tcW w:w="4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用于市场监管方面的执法工作经费支出</w:t>
            </w:r>
          </w:p>
        </w:tc>
      </w:tr>
      <w:tr>
        <w:tblPrEx>
          <w:tblCellMar>
            <w:top w:w="0" w:type="dxa"/>
            <w:left w:w="0" w:type="dxa"/>
            <w:bottom w:w="0" w:type="dxa"/>
            <w:right w:w="0" w:type="dxa"/>
          </w:tblCellMar>
        </w:tblPrEx>
        <w:trPr>
          <w:trHeight w:val="1000"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2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长财社指[2021]038号下达2021年公益性岗位在职企业军转干部社保补贴资金</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1.52</w:t>
            </w:r>
          </w:p>
        </w:tc>
        <w:tc>
          <w:tcPr>
            <w:tcW w:w="4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公益性岗位企业军转干部（政策性安置）保险</w:t>
            </w:r>
          </w:p>
        </w:tc>
      </w:tr>
      <w:tr>
        <w:tblPrEx>
          <w:tblCellMar>
            <w:top w:w="0" w:type="dxa"/>
            <w:left w:w="0" w:type="dxa"/>
            <w:bottom w:w="0" w:type="dxa"/>
            <w:right w:w="0" w:type="dxa"/>
          </w:tblCellMar>
        </w:tblPrEx>
        <w:trPr>
          <w:trHeight w:val="1040"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2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长财社指[2022]0012号下达2022年公益性岗位在职企业军转干部社保补贴资金</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2.35</w:t>
            </w:r>
          </w:p>
        </w:tc>
        <w:tc>
          <w:tcPr>
            <w:tcW w:w="4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公益性岗位企业军转干部（政策性安置）保险</w:t>
            </w:r>
          </w:p>
        </w:tc>
      </w:tr>
      <w:tr>
        <w:tblPrEx>
          <w:tblCellMar>
            <w:top w:w="0" w:type="dxa"/>
            <w:left w:w="0" w:type="dxa"/>
            <w:bottom w:w="0" w:type="dxa"/>
            <w:right w:w="0" w:type="dxa"/>
          </w:tblCellMar>
        </w:tblPrEx>
        <w:trPr>
          <w:trHeight w:val="855"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2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长财资环指[2021]076号下达2021年公益性岗位企业军转干部专项经费</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2.55</w:t>
            </w:r>
          </w:p>
        </w:tc>
        <w:tc>
          <w:tcPr>
            <w:tcW w:w="4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公益性岗位企业军转干部（政策性安置）工资、保险以及节日慰问</w:t>
            </w:r>
          </w:p>
        </w:tc>
      </w:tr>
      <w:tr>
        <w:tblPrEx>
          <w:tblCellMar>
            <w:top w:w="0" w:type="dxa"/>
            <w:left w:w="0" w:type="dxa"/>
            <w:bottom w:w="0" w:type="dxa"/>
            <w:right w:w="0" w:type="dxa"/>
          </w:tblCellMar>
        </w:tblPrEx>
        <w:trPr>
          <w:trHeight w:val="780"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2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非税罚没收入弥补执法经费不足</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319.56</w:t>
            </w:r>
          </w:p>
        </w:tc>
        <w:tc>
          <w:tcPr>
            <w:tcW w:w="4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用于大队执法相关的工作经费支出</w:t>
            </w:r>
          </w:p>
        </w:tc>
      </w:tr>
      <w:tr>
        <w:tblPrEx>
          <w:tblCellMar>
            <w:top w:w="0" w:type="dxa"/>
            <w:left w:w="0" w:type="dxa"/>
            <w:bottom w:w="0" w:type="dxa"/>
            <w:right w:w="0" w:type="dxa"/>
          </w:tblCellMar>
        </w:tblPrEx>
        <w:trPr>
          <w:trHeight w:val="820"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p>
        </w:tc>
        <w:tc>
          <w:tcPr>
            <w:tcW w:w="2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教育考试中心转各单位三考护考劳务费</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4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三考护考人员劳务费</w:t>
            </w:r>
          </w:p>
        </w:tc>
      </w:tr>
      <w:tr>
        <w:tblPrEx>
          <w:tblCellMar>
            <w:top w:w="0" w:type="dxa"/>
            <w:left w:w="0" w:type="dxa"/>
            <w:bottom w:w="0" w:type="dxa"/>
            <w:right w:w="0" w:type="dxa"/>
          </w:tblCellMar>
        </w:tblPrEx>
        <w:trPr>
          <w:trHeight w:val="1060"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7</w:t>
            </w:r>
          </w:p>
        </w:tc>
        <w:tc>
          <w:tcPr>
            <w:tcW w:w="2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区政法委转行政执法大队疫情防控宣传设备经费</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0.69</w:t>
            </w:r>
          </w:p>
        </w:tc>
        <w:tc>
          <w:tcPr>
            <w:tcW w:w="4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疫情防控宣传设备采购费用</w:t>
            </w:r>
          </w:p>
        </w:tc>
      </w:tr>
      <w:tr>
        <w:tblPrEx>
          <w:tblCellMar>
            <w:top w:w="0" w:type="dxa"/>
            <w:left w:w="0" w:type="dxa"/>
            <w:bottom w:w="0" w:type="dxa"/>
            <w:right w:w="0" w:type="dxa"/>
          </w:tblCellMar>
        </w:tblPrEx>
        <w:trPr>
          <w:trHeight w:val="600"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331.59</w:t>
            </w:r>
          </w:p>
        </w:tc>
        <w:tc>
          <w:tcPr>
            <w:tcW w:w="4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color w:val="000000"/>
          <w:kern w:val="0"/>
          <w:sz w:val="32"/>
          <w:szCs w:val="21"/>
          <w:lang w:val="en-US" w:eastAsia="zh-CN" w:bidi="ar-SA"/>
        </w:rPr>
      </w:pPr>
      <w:r>
        <w:rPr>
          <w:rFonts w:hint="eastAsia" w:ascii="仿宋_GB2312" w:hAnsi="仿宋_GB2312" w:eastAsia="仿宋_GB2312" w:cs="仿宋_GB2312"/>
          <w:color w:val="000000"/>
          <w:kern w:val="0"/>
          <w:sz w:val="32"/>
          <w:szCs w:val="21"/>
          <w:lang w:val="en-US" w:eastAsia="zh-CN" w:bidi="ar-SA"/>
        </w:rPr>
        <w:t>其中非税罚没收入弥补执法经费不足项目支出319.56万元，主要包含执法队员综合素质培训费用28.77万元；文明创建迎检共享单车整治和拆违等执法行动劳务费51.59万元；公告登报费用2.25万元；法律顾问及坐班律师服务费22万元；油烟检测费用4.91万元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21"/>
          <w:lang w:val="en-US" w:eastAsia="zh-CN" w:bidi="ar-SA"/>
        </w:rPr>
      </w:pPr>
      <w:r>
        <w:rPr>
          <w:rFonts w:hint="default" w:ascii="仿宋_GB2312" w:hAnsi="仿宋_GB2312" w:eastAsia="仿宋_GB2312" w:cs="仿宋_GB2312"/>
          <w:color w:val="000000"/>
          <w:kern w:val="0"/>
          <w:sz w:val="32"/>
          <w:szCs w:val="21"/>
          <w:lang w:val="en-US" w:eastAsia="zh-CN" w:bidi="ar-SA"/>
        </w:rPr>
        <w:t>3.</w:t>
      </w:r>
      <w:r>
        <w:rPr>
          <w:rFonts w:hint="eastAsia" w:ascii="仿宋_GB2312" w:hAnsi="仿宋_GB2312" w:eastAsia="仿宋_GB2312" w:cs="仿宋_GB2312"/>
          <w:color w:val="000000"/>
          <w:kern w:val="0"/>
          <w:sz w:val="32"/>
          <w:szCs w:val="21"/>
          <w:lang w:val="en-US" w:eastAsia="zh-CN" w:bidi="ar-SA"/>
        </w:rPr>
        <w:t xml:space="preserve">项目资金管理情况分析，主要包括管理制度、办法的制订及执行情况。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color w:val="000000"/>
          <w:kern w:val="0"/>
          <w:sz w:val="32"/>
          <w:szCs w:val="21"/>
          <w:lang w:val="en-US" w:eastAsia="zh-CN" w:bidi="ar-SA"/>
        </w:rPr>
      </w:pPr>
      <w:r>
        <w:rPr>
          <w:rFonts w:hint="eastAsia" w:ascii="仿宋_GB2312" w:hAnsi="仿宋_GB2312" w:eastAsia="仿宋_GB2312" w:cs="仿宋_GB2312"/>
          <w:color w:val="000000"/>
          <w:kern w:val="0"/>
          <w:sz w:val="32"/>
          <w:szCs w:val="21"/>
          <w:lang w:val="en-US" w:eastAsia="zh-CN" w:bidi="ar-SA"/>
        </w:rPr>
        <w:t>我单位依据《预算法》、《会计法》、《行政事业单位内部控制规范》、《行政事业单位国有资产管理暂行办法》等法规规定，针对单位具体情况建立健全了相关管理制度，制定了《财务预算管理制度》、《收入支出管理制度》、《政府采购管理制度》、《资产管理制度》等规章制度，对资金、物资的使用和管理进行规范，并严格按照财经规定对财政资金的使用进行管理，使财政收支预算执行取到良好的实施效果。资金采取国库集中支付，财务室专人负责核算。</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三、部门项目组织实施情况 </w:t>
      </w:r>
    </w:p>
    <w:p>
      <w:pPr>
        <w:keepNext w:val="0"/>
        <w:keepLines w:val="0"/>
        <w:widowControl/>
        <w:suppressLineNumbers w:val="0"/>
        <w:ind w:firstLine="622" w:firstLineChars="200"/>
        <w:jc w:val="left"/>
        <w:rPr>
          <w:rFonts w:hint="eastAsia" w:ascii="楷体_GB2312" w:hAnsi="宋体" w:eastAsia="楷体_GB2312" w:cs="楷体_GB2312"/>
          <w:b/>
          <w:color w:val="000000"/>
          <w:kern w:val="0"/>
          <w:sz w:val="31"/>
          <w:szCs w:val="31"/>
          <w:lang w:val="en-US" w:eastAsia="zh-CN" w:bidi="ar"/>
        </w:rPr>
      </w:pPr>
      <w:r>
        <w:rPr>
          <w:rFonts w:hint="eastAsia" w:ascii="楷体_GB2312" w:hAnsi="宋体" w:eastAsia="楷体_GB2312" w:cs="楷体_GB2312"/>
          <w:b/>
          <w:color w:val="000000"/>
          <w:kern w:val="0"/>
          <w:sz w:val="31"/>
          <w:szCs w:val="31"/>
          <w:lang w:val="en-US" w:eastAsia="zh-CN" w:bidi="ar"/>
        </w:rPr>
        <w:t xml:space="preserve">（一）项目组织情况分析，主要包括项目招投标、调整、 </w:t>
      </w:r>
    </w:p>
    <w:p>
      <w:pPr>
        <w:keepNext w:val="0"/>
        <w:keepLines w:val="0"/>
        <w:widowControl/>
        <w:suppressLineNumbers w:val="0"/>
        <w:jc w:val="left"/>
        <w:rPr>
          <w:rFonts w:hint="eastAsia" w:ascii="楷体_GB2312" w:hAnsi="宋体" w:eastAsia="楷体_GB2312" w:cs="楷体_GB2312"/>
          <w:b/>
          <w:color w:val="000000"/>
          <w:kern w:val="0"/>
          <w:sz w:val="31"/>
          <w:szCs w:val="31"/>
          <w:lang w:val="en-US" w:eastAsia="zh-CN" w:bidi="ar"/>
        </w:rPr>
      </w:pPr>
      <w:r>
        <w:rPr>
          <w:rFonts w:hint="eastAsia" w:ascii="楷体_GB2312" w:hAnsi="宋体" w:eastAsia="楷体_GB2312" w:cs="楷体_GB2312"/>
          <w:b/>
          <w:color w:val="000000"/>
          <w:kern w:val="0"/>
          <w:sz w:val="31"/>
          <w:szCs w:val="31"/>
          <w:lang w:val="en-US" w:eastAsia="zh-CN" w:bidi="ar"/>
        </w:rPr>
        <w:t xml:space="preserve">竣工验收等情况。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21"/>
          <w:lang w:val="en-US" w:eastAsia="zh-CN" w:bidi="ar-SA"/>
        </w:rPr>
      </w:pPr>
      <w:r>
        <w:rPr>
          <w:rFonts w:hint="eastAsia" w:ascii="仿宋_GB2312" w:hAnsi="仿宋_GB2312" w:eastAsia="仿宋_GB2312" w:cs="仿宋_GB2312"/>
          <w:color w:val="000000"/>
          <w:kern w:val="0"/>
          <w:sz w:val="32"/>
          <w:szCs w:val="21"/>
          <w:lang w:val="en-US" w:eastAsia="zh-CN" w:bidi="ar-SA"/>
        </w:rPr>
        <w:t>我单位政府采购按照政府采购管理办法组织实施。对已具备验收条件的项目,及时组织验收、移交使用。</w:t>
      </w:r>
    </w:p>
    <w:p>
      <w:pPr>
        <w:keepNext w:val="0"/>
        <w:keepLines w:val="0"/>
        <w:widowControl/>
        <w:suppressLineNumbers w:val="0"/>
        <w:ind w:firstLine="622" w:firstLineChars="200"/>
        <w:jc w:val="left"/>
        <w:rPr>
          <w:rFonts w:hint="eastAsia" w:ascii="楷体_GB2312" w:hAnsi="宋体" w:eastAsia="楷体_GB2312" w:cs="楷体_GB2312"/>
          <w:b/>
          <w:color w:val="000000"/>
          <w:kern w:val="0"/>
          <w:sz w:val="31"/>
          <w:szCs w:val="31"/>
          <w:lang w:val="en-US" w:eastAsia="zh-CN" w:bidi="ar"/>
        </w:rPr>
      </w:pPr>
      <w:r>
        <w:rPr>
          <w:rFonts w:hint="eastAsia" w:ascii="楷体_GB2312" w:hAnsi="宋体" w:eastAsia="楷体_GB2312" w:cs="楷体_GB2312"/>
          <w:b/>
          <w:color w:val="000000"/>
          <w:kern w:val="0"/>
          <w:sz w:val="31"/>
          <w:szCs w:val="31"/>
          <w:lang w:val="en-US" w:eastAsia="zh-CN" w:bidi="ar"/>
        </w:rPr>
        <w:t xml:space="preserve">（二）项目管理情况分析，主要包括项目管理制度建设、 </w:t>
      </w:r>
    </w:p>
    <w:p>
      <w:pPr>
        <w:keepNext w:val="0"/>
        <w:keepLines w:val="0"/>
        <w:widowControl/>
        <w:suppressLineNumbers w:val="0"/>
        <w:jc w:val="left"/>
        <w:rPr>
          <w:rFonts w:hint="eastAsia" w:ascii="楷体_GB2312" w:hAnsi="宋体" w:eastAsia="楷体_GB2312" w:cs="楷体_GB2312"/>
          <w:b/>
          <w:color w:val="000000"/>
          <w:kern w:val="0"/>
          <w:sz w:val="31"/>
          <w:szCs w:val="31"/>
          <w:lang w:val="en-US" w:eastAsia="zh-CN" w:bidi="ar"/>
        </w:rPr>
      </w:pPr>
      <w:r>
        <w:rPr>
          <w:rFonts w:hint="eastAsia" w:ascii="楷体_GB2312" w:hAnsi="宋体" w:eastAsia="楷体_GB2312" w:cs="楷体_GB2312"/>
          <w:b/>
          <w:color w:val="000000"/>
          <w:kern w:val="0"/>
          <w:sz w:val="31"/>
          <w:szCs w:val="31"/>
          <w:lang w:val="en-US" w:eastAsia="zh-CN" w:bidi="ar"/>
        </w:rPr>
        <w:t xml:space="preserve">日常检查监督管理等情况。 </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1.单位层面的制度建设及执行</w:t>
      </w:r>
    </w:p>
    <w:p>
      <w:pPr>
        <w:keepNext w:val="0"/>
        <w:keepLines w:val="0"/>
        <w:widowControl/>
        <w:suppressLineNumbers w:val="0"/>
        <w:ind w:firstLine="640" w:firstLineChars="200"/>
        <w:jc w:val="left"/>
        <w:rPr>
          <w:rFonts w:hint="eastAsia" w:ascii="仿宋_GB2312" w:hAnsi="仿宋_GB2312" w:eastAsia="仿宋_GB2312" w:cs="仿宋_GB2312"/>
          <w:color w:val="000000"/>
          <w:kern w:val="0"/>
          <w:sz w:val="32"/>
          <w:szCs w:val="21"/>
          <w:lang w:val="en-US" w:eastAsia="zh-CN" w:bidi="ar-SA"/>
        </w:rPr>
      </w:pPr>
      <w:r>
        <w:rPr>
          <w:rFonts w:hint="eastAsia" w:ascii="仿宋_GB2312" w:hAnsi="仿宋_GB2312" w:eastAsia="仿宋_GB2312" w:cs="仿宋_GB2312"/>
          <w:color w:val="000000"/>
          <w:kern w:val="0"/>
          <w:sz w:val="32"/>
          <w:szCs w:val="21"/>
          <w:lang w:val="en-US" w:eastAsia="zh-CN" w:bidi="ar-SA"/>
        </w:rPr>
        <w:t>我单位出台了《芙蓉区行政执法大队综合考核试行办法》，制定了考核负面清单。以全面考核的方式，综合评价中队及执法干部工作业绩，促进大队执法质量提升。</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2.项目业务管理方面</w:t>
      </w:r>
    </w:p>
    <w:p>
      <w:pPr>
        <w:keepNext w:val="0"/>
        <w:keepLines w:val="0"/>
        <w:widowControl/>
        <w:suppressLineNumbers w:val="0"/>
        <w:ind w:firstLine="640" w:firstLineChars="200"/>
        <w:jc w:val="left"/>
        <w:rPr>
          <w:rFonts w:hint="eastAsia" w:ascii="仿宋_GB2312" w:hAnsi="仿宋_GB2312" w:eastAsia="仿宋_GB2312" w:cs="仿宋_GB2312"/>
          <w:color w:val="000000"/>
          <w:kern w:val="0"/>
          <w:sz w:val="32"/>
          <w:szCs w:val="21"/>
          <w:lang w:val="en-US" w:eastAsia="zh-CN" w:bidi="ar-SA"/>
        </w:rPr>
      </w:pPr>
      <w:r>
        <w:rPr>
          <w:rFonts w:hint="eastAsia" w:ascii="仿宋_GB2312" w:hAnsi="仿宋_GB2312" w:eastAsia="仿宋_GB2312" w:cs="仿宋_GB2312"/>
          <w:color w:val="000000"/>
          <w:kern w:val="0"/>
          <w:sz w:val="32"/>
          <w:szCs w:val="21"/>
          <w:lang w:val="en-US" w:eastAsia="zh-CN" w:bidi="ar-SA"/>
        </w:rPr>
        <w:t>我单位制定了《专项资金管理暂行办法》，并严格按照制度执行，采取事前、事中、事后相结合，日常监督和专项监督相结合的方式，对项目实施全过程监督管理。</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四、资产管理情况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_GB2312" w:cs="Times New Roman"/>
          <w:sz w:val="32"/>
          <w:szCs w:val="32"/>
        </w:rPr>
      </w:pPr>
      <w:r>
        <w:rPr>
          <w:rFonts w:hint="eastAsia" w:ascii="Times New Roman" w:hAnsi="Times New Roman" w:eastAsia="楷体_GB2312" w:cs="Times New Roman"/>
          <w:b/>
          <w:sz w:val="32"/>
          <w:szCs w:val="32"/>
          <w:lang w:eastAsia="zh-CN"/>
        </w:rPr>
        <w:t>（一）</w:t>
      </w:r>
      <w:r>
        <w:rPr>
          <w:rFonts w:hint="default" w:ascii="Times New Roman" w:hAnsi="Times New Roman" w:eastAsia="楷体_GB2312" w:cs="Times New Roman"/>
          <w:b/>
          <w:sz w:val="32"/>
          <w:szCs w:val="32"/>
        </w:rPr>
        <w:t>计划的申报</w:t>
      </w:r>
      <w:r>
        <w:rPr>
          <w:rFonts w:hint="default" w:ascii="Times New Roman" w:hAnsi="Times New Roman" w:eastAsia="仿宋_GB2312" w:cs="Times New Roman"/>
          <w:sz w:val="32"/>
          <w:szCs w:val="32"/>
        </w:rPr>
        <w:t>。严格按照计划管理，未纳入年初预算的办公设备，原则上不能够添置。我单位资产按照经济适用、按需配置、计划配置、标准配置的总体原则，制定本单位的购置计划。</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_GB2312" w:cs="Times New Roman"/>
          <w:sz w:val="32"/>
          <w:szCs w:val="32"/>
        </w:rPr>
      </w:pPr>
      <w:r>
        <w:rPr>
          <w:rFonts w:hint="eastAsia" w:ascii="Times New Roman" w:hAnsi="Times New Roman" w:eastAsia="楷体_GB2312" w:cs="Times New Roman"/>
          <w:b/>
          <w:sz w:val="32"/>
          <w:szCs w:val="32"/>
          <w:lang w:eastAsia="zh-CN"/>
        </w:rPr>
        <w:t>（二）</w:t>
      </w:r>
      <w:r>
        <w:rPr>
          <w:rFonts w:hint="default" w:ascii="Times New Roman" w:hAnsi="Times New Roman" w:eastAsia="楷体_GB2312" w:cs="Times New Roman"/>
          <w:b/>
          <w:sz w:val="32"/>
          <w:szCs w:val="32"/>
          <w:lang w:eastAsia="zh-CN"/>
        </w:rPr>
        <w:t>资产的取得</w:t>
      </w:r>
      <w:r>
        <w:rPr>
          <w:rFonts w:hint="default" w:ascii="Times New Roman" w:hAnsi="Times New Roman" w:eastAsia="仿宋_GB2312" w:cs="Times New Roman"/>
          <w:sz w:val="32"/>
          <w:szCs w:val="32"/>
        </w:rPr>
        <w:t>。按照计划申报，并且经过国资部门批准的购置计划，本单位可以根据采购要求，实施资产的购置。对于新取得的资产，使用科室、中队必需办理验收及领用手续，并且按照国资办要求，确定责任人，并且贴好条形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_GB2312" w:cs="Times New Roman"/>
          <w:sz w:val="32"/>
          <w:szCs w:val="32"/>
        </w:rPr>
      </w:pPr>
      <w:r>
        <w:rPr>
          <w:rFonts w:hint="eastAsia" w:ascii="Times New Roman" w:hAnsi="Times New Roman" w:eastAsia="楷体_GB2312" w:cs="Times New Roman"/>
          <w:b/>
          <w:sz w:val="32"/>
          <w:szCs w:val="32"/>
          <w:lang w:eastAsia="zh-CN"/>
        </w:rPr>
        <w:t>（三）</w:t>
      </w:r>
      <w:r>
        <w:rPr>
          <w:rFonts w:hint="default" w:ascii="Times New Roman" w:hAnsi="Times New Roman" w:eastAsia="楷体_GB2312" w:cs="Times New Roman"/>
          <w:b/>
          <w:sz w:val="32"/>
          <w:szCs w:val="32"/>
          <w:lang w:eastAsia="zh-CN"/>
        </w:rPr>
        <w:t>资产的处置</w:t>
      </w:r>
      <w:r>
        <w:rPr>
          <w:rFonts w:hint="default" w:ascii="Times New Roman" w:hAnsi="Times New Roman" w:eastAsia="仿宋_GB2312" w:cs="Times New Roman"/>
          <w:sz w:val="32"/>
          <w:szCs w:val="32"/>
        </w:rPr>
        <w:t>。按照国有资产管理相关规定，明确资产的调剂、租借、审批权限和责任。对须报废、报损的固定资产进行清理，并上报单位资产管理员，经核定后由资产管理员统一向区国资办申请办理核销手续，不私自处理。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_GB2312" w:cs="Times New Roman"/>
          <w:sz w:val="32"/>
          <w:szCs w:val="32"/>
        </w:rPr>
      </w:pPr>
      <w:r>
        <w:rPr>
          <w:rFonts w:hint="eastAsia" w:ascii="Times New Roman" w:hAnsi="Times New Roman" w:eastAsia="楷体_GB2312" w:cs="Times New Roman"/>
          <w:b/>
          <w:sz w:val="32"/>
          <w:szCs w:val="32"/>
          <w:lang w:eastAsia="zh-CN"/>
        </w:rPr>
        <w:t>（四）</w:t>
      </w:r>
      <w:r>
        <w:rPr>
          <w:rFonts w:hint="default" w:ascii="Times New Roman" w:hAnsi="Times New Roman" w:eastAsia="楷体_GB2312" w:cs="Times New Roman"/>
          <w:b/>
          <w:sz w:val="32"/>
          <w:szCs w:val="32"/>
          <w:lang w:eastAsia="zh-CN"/>
        </w:rPr>
        <w:t>对资产实施归口管理</w:t>
      </w:r>
      <w:r>
        <w:rPr>
          <w:rFonts w:hint="default" w:ascii="Times New Roman" w:hAnsi="Times New Roman" w:eastAsia="仿宋_GB2312" w:cs="Times New Roman"/>
          <w:sz w:val="32"/>
          <w:szCs w:val="32"/>
        </w:rPr>
        <w:t>。明确资产使用和保管责任人，落实资产使用人在资产管理中的责任。贵重资产、危险资产、有保密等特殊要求的资产，指定专人保管、专人使用，并规定严格的接触限制条件和审批程序。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_GB2312" w:cs="Times New Roman"/>
          <w:sz w:val="32"/>
          <w:szCs w:val="32"/>
        </w:rPr>
      </w:pPr>
      <w:r>
        <w:rPr>
          <w:rFonts w:hint="eastAsia" w:ascii="Times New Roman" w:hAnsi="Times New Roman" w:eastAsia="楷体_GB2312" w:cs="Times New Roman"/>
          <w:b/>
          <w:sz w:val="32"/>
          <w:szCs w:val="32"/>
          <w:lang w:eastAsia="zh-CN"/>
        </w:rPr>
        <w:t>（五）</w:t>
      </w:r>
      <w:r>
        <w:rPr>
          <w:rFonts w:hint="default" w:ascii="Times New Roman" w:hAnsi="Times New Roman" w:eastAsia="楷体_GB2312" w:cs="Times New Roman"/>
          <w:b/>
          <w:sz w:val="32"/>
          <w:szCs w:val="32"/>
          <w:lang w:eastAsia="zh-CN"/>
        </w:rPr>
        <w:t>资产的登记</w:t>
      </w:r>
      <w:r>
        <w:rPr>
          <w:rFonts w:hint="default" w:ascii="Times New Roman" w:hAnsi="Times New Roman" w:eastAsia="仿宋_GB2312" w:cs="Times New Roman"/>
          <w:sz w:val="32"/>
          <w:szCs w:val="32"/>
        </w:rPr>
        <w:t>。本单位资产管理员依托国资系统，动态掌握资产适用情况。定期与财务核对资产数据，保证账实相符。</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_GB2312" w:cs="Times New Roman"/>
          <w:sz w:val="32"/>
          <w:szCs w:val="32"/>
        </w:rPr>
      </w:pPr>
      <w:r>
        <w:rPr>
          <w:rFonts w:hint="eastAsia" w:ascii="Times New Roman" w:hAnsi="Times New Roman" w:eastAsia="楷体_GB2312" w:cs="Times New Roman"/>
          <w:b/>
          <w:sz w:val="32"/>
          <w:szCs w:val="32"/>
          <w:lang w:eastAsia="zh-CN"/>
        </w:rPr>
        <w:t>（六）</w:t>
      </w:r>
      <w:r>
        <w:rPr>
          <w:rFonts w:hint="default" w:ascii="Times New Roman" w:hAnsi="Times New Roman" w:eastAsia="楷体_GB2312" w:cs="Times New Roman"/>
          <w:b/>
          <w:sz w:val="32"/>
          <w:szCs w:val="32"/>
          <w:lang w:eastAsia="zh-CN"/>
        </w:rPr>
        <w:t>资产清查</w:t>
      </w:r>
      <w:r>
        <w:rPr>
          <w:rFonts w:hint="default" w:ascii="Times New Roman" w:hAnsi="Times New Roman" w:eastAsia="仿宋_GB2312" w:cs="Times New Roman"/>
          <w:sz w:val="32"/>
          <w:szCs w:val="32"/>
        </w:rPr>
        <w:t>。办公室将定期或不定期对各部门的固定资产进行清查盘点，保证帐实相符。</w:t>
      </w:r>
    </w:p>
    <w:p>
      <w:pPr>
        <w:keepNext w:val="0"/>
        <w:keepLines w:val="0"/>
        <w:widowControl/>
        <w:suppressLineNumbers w:val="0"/>
        <w:jc w:val="left"/>
      </w:pP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五、政府性基金预算支出情况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无</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六、国有资本经营预算支出情况 </w:t>
      </w:r>
    </w:p>
    <w:p>
      <w:pPr>
        <w:keepNext w:val="0"/>
        <w:keepLines w:val="0"/>
        <w:widowControl/>
        <w:suppressLineNumbers w:val="0"/>
        <w:jc w:val="left"/>
        <w:rPr>
          <w:rFonts w:hint="default" w:ascii="黑体" w:hAnsi="宋体" w:eastAsia="黑体" w:cs="黑体"/>
          <w:color w:val="000000"/>
          <w:kern w:val="0"/>
          <w:sz w:val="31"/>
          <w:szCs w:val="31"/>
          <w:lang w:val="en-US" w:eastAsia="zh-CN" w:bidi="ar"/>
        </w:rPr>
      </w:pPr>
      <w:r>
        <w:rPr>
          <w:rFonts w:hint="eastAsia" w:ascii="黑体" w:hAnsi="宋体" w:eastAsia="黑体" w:cs="黑体"/>
          <w:color w:val="000000"/>
          <w:kern w:val="0"/>
          <w:sz w:val="31"/>
          <w:szCs w:val="31"/>
          <w:lang w:val="en-US" w:eastAsia="zh-CN" w:bidi="ar"/>
        </w:rPr>
        <w:t xml:space="preserve">   </w:t>
      </w:r>
      <w:r>
        <w:rPr>
          <w:rFonts w:hint="eastAsia" w:ascii="Times New Roman" w:hAnsi="Times New Roman" w:eastAsia="仿宋_GB2312" w:cs="Times New Roman"/>
          <w:sz w:val="32"/>
          <w:szCs w:val="32"/>
          <w:lang w:val="en-US" w:eastAsia="zh-CN"/>
        </w:rPr>
        <w:t>无</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七、社会保险基金预算支出情况 </w:t>
      </w:r>
    </w:p>
    <w:p>
      <w:pPr>
        <w:keepNext w:val="0"/>
        <w:keepLines w:val="0"/>
        <w:pageBreakBefore w:val="0"/>
        <w:widowControl w:val="0"/>
        <w:kinsoku/>
        <w:wordWrap/>
        <w:overflowPunct/>
        <w:topLinePunct w:val="0"/>
        <w:autoSpaceDE/>
        <w:autoSpaceDN/>
        <w:bidi w:val="0"/>
        <w:adjustRightInd/>
        <w:snapToGrid/>
        <w:spacing w:line="600" w:lineRule="exact"/>
        <w:ind w:firstLine="310" w:firstLineChars="100"/>
        <w:jc w:val="left"/>
        <w:textAlignment w:val="auto"/>
        <w:rPr>
          <w:rFonts w:hint="default" w:ascii="黑体" w:hAnsi="宋体" w:eastAsia="黑体" w:cs="黑体"/>
          <w:color w:val="000000"/>
          <w:kern w:val="0"/>
          <w:sz w:val="31"/>
          <w:szCs w:val="31"/>
          <w:lang w:val="en-US" w:eastAsia="zh-CN" w:bidi="ar"/>
        </w:rPr>
      </w:pPr>
      <w:r>
        <w:rPr>
          <w:rFonts w:hint="eastAsia" w:ascii="黑体" w:hAnsi="宋体" w:eastAsia="黑体" w:cs="黑体"/>
          <w:color w:val="000000"/>
          <w:kern w:val="0"/>
          <w:sz w:val="31"/>
          <w:szCs w:val="31"/>
          <w:lang w:val="en-US" w:eastAsia="zh-CN" w:bidi="ar"/>
        </w:rPr>
        <w:t xml:space="preserve">  </w:t>
      </w:r>
      <w:r>
        <w:rPr>
          <w:rFonts w:hint="eastAsia" w:ascii="Times New Roman" w:hAnsi="Times New Roman" w:eastAsia="仿宋_GB2312" w:cs="Times New Roman"/>
          <w:sz w:val="32"/>
          <w:szCs w:val="32"/>
          <w:lang w:val="en-US" w:eastAsia="zh-CN"/>
        </w:rPr>
        <w:t>无</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八、部门整体支出绩效情况 </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Times New Roman" w:hAnsi="Times New Roman" w:eastAsia="楷体_GB2312" w:cs="Times New Roman"/>
          <w:b/>
          <w:kern w:val="2"/>
          <w:sz w:val="32"/>
          <w:szCs w:val="32"/>
          <w:lang w:val="en-US" w:eastAsia="zh-CN" w:bidi="ar-SA"/>
        </w:rPr>
      </w:pPr>
      <w:r>
        <w:rPr>
          <w:rFonts w:hint="eastAsia" w:ascii="Times New Roman" w:hAnsi="Times New Roman" w:eastAsia="楷体_GB2312" w:cs="Times New Roman"/>
          <w:b/>
          <w:kern w:val="2"/>
          <w:sz w:val="32"/>
          <w:szCs w:val="32"/>
          <w:lang w:val="en-US" w:eastAsia="zh-CN" w:bidi="ar-SA"/>
        </w:rPr>
        <w:t>（一）经济性评价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0"/>
        <w:textAlignment w:val="center"/>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　　2022年，大队严格控制预算支出，基本支出较好的控制在预算额度内，人员经费严格按标准支出，办公经费尚有结余。 </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Times New Roman" w:hAnsi="Times New Roman" w:eastAsia="楷体_GB2312" w:cs="Times New Roman"/>
          <w:b/>
          <w:kern w:val="2"/>
          <w:sz w:val="32"/>
          <w:szCs w:val="32"/>
          <w:lang w:val="en-US" w:eastAsia="zh-CN" w:bidi="ar-SA"/>
        </w:rPr>
      </w:pPr>
      <w:r>
        <w:rPr>
          <w:rFonts w:hint="eastAsia" w:ascii="Times New Roman" w:hAnsi="Times New Roman" w:eastAsia="楷体_GB2312" w:cs="Times New Roman"/>
          <w:b/>
          <w:kern w:val="2"/>
          <w:sz w:val="32"/>
          <w:szCs w:val="32"/>
          <w:lang w:val="en-US" w:eastAsia="zh-CN" w:bidi="ar-SA"/>
        </w:rPr>
        <w:t>（二）社会效益评价 </w:t>
      </w:r>
    </w:p>
    <w:p>
      <w:pPr>
        <w:keepNext w:val="0"/>
        <w:keepLines w:val="0"/>
        <w:widowControl/>
        <w:suppressLineNumbers w:val="0"/>
        <w:ind w:firstLine="640" w:firstLineChars="200"/>
        <w:jc w:val="left"/>
        <w:rPr>
          <w:rFonts w:hint="eastAsia" w:ascii="仿宋_GB2312" w:hAnsi="仿宋_GB2312" w:eastAsia="仿宋_GB2312" w:cs="仿宋_GB2312"/>
          <w:color w:val="000000"/>
          <w:kern w:val="0"/>
          <w:sz w:val="32"/>
          <w:szCs w:val="21"/>
          <w:lang w:val="en-US" w:eastAsia="zh-CN" w:bidi="ar-SA"/>
        </w:rPr>
      </w:pPr>
      <w:r>
        <w:rPr>
          <w:rFonts w:hint="eastAsia" w:ascii="仿宋_GB2312" w:hAnsi="仿宋_GB2312" w:eastAsia="仿宋_GB2312" w:cs="仿宋_GB2312"/>
          <w:color w:val="000000"/>
          <w:kern w:val="0"/>
          <w:sz w:val="32"/>
          <w:szCs w:val="21"/>
          <w:lang w:val="en-US" w:eastAsia="zh-CN" w:bidi="ar-SA"/>
        </w:rPr>
        <w:t>一是坚持规范执法，文明执法，2022年度办理各类行政处罚案件29937起。</w:t>
      </w:r>
    </w:p>
    <w:p>
      <w:pPr>
        <w:keepNext w:val="0"/>
        <w:keepLines w:val="0"/>
        <w:widowControl/>
        <w:suppressLineNumbers w:val="0"/>
        <w:ind w:firstLine="640" w:firstLineChars="200"/>
        <w:jc w:val="left"/>
        <w:rPr>
          <w:rFonts w:hint="eastAsia" w:ascii="仿宋_GB2312" w:hAnsi="仿宋_GB2312" w:eastAsia="仿宋_GB2312" w:cs="仿宋_GB2312"/>
          <w:color w:val="000000"/>
          <w:kern w:val="0"/>
          <w:sz w:val="32"/>
          <w:szCs w:val="21"/>
          <w:lang w:val="en-US" w:eastAsia="zh-CN" w:bidi="ar-SA"/>
        </w:rPr>
      </w:pPr>
      <w:r>
        <w:rPr>
          <w:rFonts w:hint="eastAsia" w:ascii="仿宋_GB2312" w:hAnsi="仿宋_GB2312" w:eastAsia="仿宋_GB2312" w:cs="仿宋_GB2312"/>
          <w:color w:val="000000"/>
          <w:kern w:val="0"/>
          <w:sz w:val="32"/>
          <w:szCs w:val="21"/>
          <w:lang w:val="en-US" w:eastAsia="zh-CN" w:bidi="ar-SA"/>
        </w:rPr>
        <w:t>二是扎实推进“一年一件事”，全年办理“门前三包”相关案件487起，规范整治相关违法违规行为12000余起，辖区19条主干道（含13条示范路段）、省委周边、五一商圈、车站广场等重点区域精细化管理不断提升。</w:t>
      </w:r>
    </w:p>
    <w:p>
      <w:pPr>
        <w:keepNext w:val="0"/>
        <w:keepLines w:val="0"/>
        <w:widowControl/>
        <w:suppressLineNumbers w:val="0"/>
        <w:ind w:firstLine="640" w:firstLineChars="200"/>
        <w:jc w:val="left"/>
        <w:rPr>
          <w:rFonts w:hint="eastAsia" w:ascii="仿宋_GB2312" w:hAnsi="仿宋_GB2312" w:eastAsia="仿宋_GB2312" w:cs="仿宋_GB2312"/>
          <w:color w:val="000000"/>
          <w:kern w:val="0"/>
          <w:sz w:val="32"/>
          <w:szCs w:val="21"/>
          <w:lang w:val="en-US" w:eastAsia="zh-CN" w:bidi="ar-SA"/>
        </w:rPr>
      </w:pPr>
      <w:r>
        <w:rPr>
          <w:rFonts w:hint="eastAsia" w:ascii="仿宋_GB2312" w:hAnsi="仿宋_GB2312" w:eastAsia="仿宋_GB2312" w:cs="仿宋_GB2312"/>
          <w:color w:val="000000"/>
          <w:kern w:val="0"/>
          <w:sz w:val="32"/>
          <w:szCs w:val="21"/>
          <w:lang w:val="en-US" w:eastAsia="zh-CN" w:bidi="ar-SA"/>
        </w:rPr>
        <w:t>三是全力推进自建房安全生产“百日攻坚”专项整治行动，根据《芙蓉区自建房安全整治“百日攻坚”拆违控违工作实施方案》要求，协同街道、部门对存在安全隐患的居民自建房、违法建设及其相关违规生产经营活动依法进行查处。全力解决群众反映强烈和重点区域违法建设问题。</w:t>
      </w:r>
    </w:p>
    <w:p>
      <w:pPr>
        <w:keepNext w:val="0"/>
        <w:keepLines w:val="0"/>
        <w:widowControl/>
        <w:suppressLineNumbers w:val="0"/>
        <w:ind w:firstLine="640" w:firstLineChars="200"/>
        <w:jc w:val="left"/>
        <w:rPr>
          <w:rFonts w:hint="eastAsia" w:ascii="仿宋_GB2312" w:hAnsi="仿宋_GB2312" w:eastAsia="仿宋_GB2312" w:cs="仿宋_GB2312"/>
          <w:color w:val="000000"/>
          <w:kern w:val="0"/>
          <w:sz w:val="32"/>
          <w:szCs w:val="21"/>
          <w:lang w:val="en-US" w:eastAsia="zh-CN" w:bidi="ar-SA"/>
        </w:rPr>
      </w:pPr>
      <w:r>
        <w:rPr>
          <w:rFonts w:hint="eastAsia" w:ascii="仿宋_GB2312" w:hAnsi="仿宋_GB2312" w:eastAsia="仿宋_GB2312" w:cs="仿宋_GB2312"/>
          <w:color w:val="000000"/>
          <w:kern w:val="0"/>
          <w:sz w:val="32"/>
          <w:szCs w:val="21"/>
          <w:lang w:val="en-US" w:eastAsia="zh-CN" w:bidi="ar-SA"/>
        </w:rPr>
        <w:t>四是持续推进“蓝天保卫战”，全年开展城镇燃气安全生产工作大排查、大整治、燃气报警装置安装推进行动等各类环保执法专项行动400余次，办理环保类案件229起。强化国检站点周边大气污染治理工作，确保全区公共机构食堂油烟净化装置安装率达100%。</w:t>
      </w:r>
    </w:p>
    <w:p>
      <w:pPr>
        <w:keepNext w:val="0"/>
        <w:keepLines w:val="0"/>
        <w:widowControl/>
        <w:suppressLineNumbers w:val="0"/>
        <w:ind w:firstLine="640" w:firstLineChars="200"/>
        <w:jc w:val="left"/>
        <w:rPr>
          <w:rFonts w:hint="eastAsia" w:ascii="仿宋_GB2312" w:hAnsi="仿宋_GB2312" w:eastAsia="仿宋_GB2312" w:cs="仿宋_GB2312"/>
          <w:color w:val="000000"/>
          <w:kern w:val="0"/>
          <w:sz w:val="32"/>
          <w:szCs w:val="21"/>
          <w:lang w:val="en-US" w:eastAsia="zh-CN" w:bidi="ar-SA"/>
        </w:rPr>
      </w:pPr>
      <w:r>
        <w:rPr>
          <w:rFonts w:hint="eastAsia" w:ascii="仿宋_GB2312" w:hAnsi="仿宋_GB2312" w:eastAsia="仿宋_GB2312" w:cs="仿宋_GB2312"/>
          <w:color w:val="000000"/>
          <w:kern w:val="0"/>
          <w:sz w:val="32"/>
          <w:szCs w:val="21"/>
          <w:lang w:val="en-US" w:eastAsia="zh-CN" w:bidi="ar-SA"/>
        </w:rPr>
        <w:t>五是持续推进违规户外广告招牌整治工作。全年拆除各类违规户外广告招牌202处，面积7044平方米。</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Times New Roman" w:hAnsi="Times New Roman" w:eastAsia="楷体_GB2312" w:cs="Times New Roman"/>
          <w:b/>
          <w:kern w:val="2"/>
          <w:sz w:val="32"/>
          <w:szCs w:val="32"/>
          <w:lang w:val="en-US" w:eastAsia="zh-CN" w:bidi="ar-SA"/>
        </w:rPr>
      </w:pPr>
      <w:r>
        <w:rPr>
          <w:rFonts w:hint="eastAsia" w:ascii="Times New Roman" w:hAnsi="Times New Roman" w:eastAsia="楷体_GB2312" w:cs="Times New Roman"/>
          <w:b/>
          <w:kern w:val="2"/>
          <w:sz w:val="32"/>
          <w:szCs w:val="32"/>
          <w:lang w:val="en-US" w:eastAsia="zh-CN" w:bidi="ar-SA"/>
        </w:rPr>
        <w:t>（三）满意度评价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rPr>
          <w:rFonts w:hint="eastAsia" w:ascii="黑体" w:hAnsi="宋体" w:eastAsia="黑体" w:cs="黑体"/>
          <w:color w:val="000000"/>
          <w:kern w:val="0"/>
          <w:sz w:val="31"/>
          <w:szCs w:val="31"/>
          <w:lang w:val="en-US" w:eastAsia="zh-CN" w:bidi="ar"/>
        </w:rPr>
      </w:pPr>
      <w:r>
        <w:rPr>
          <w:rFonts w:hint="eastAsia" w:ascii="Times New Roman" w:hAnsi="Times New Roman" w:eastAsia="仿宋_GB2312" w:cs="Times New Roman"/>
          <w:b w:val="0"/>
          <w:bCs w:val="0"/>
          <w:sz w:val="32"/>
          <w:szCs w:val="32"/>
          <w:lang w:eastAsia="zh-CN"/>
        </w:rPr>
        <w:t>高标准回应群众诉求</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sz w:val="32"/>
          <w:szCs w:val="32"/>
        </w:rPr>
        <w:t>2022年</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共计接警13055件，按时办结率100%，平均回访满意率98.78%；</w:t>
      </w:r>
      <w:r>
        <w:rPr>
          <w:rFonts w:hint="eastAsia" w:ascii="Times New Roman" w:hAnsi="Times New Roman" w:eastAsia="仿宋_GB2312" w:cs="Times New Roman"/>
          <w:sz w:val="32"/>
          <w:szCs w:val="32"/>
          <w:lang w:eastAsia="zh-CN"/>
        </w:rPr>
        <w:t>受理</w:t>
      </w:r>
      <w:r>
        <w:rPr>
          <w:rFonts w:hint="eastAsia" w:ascii="Times New Roman" w:hAnsi="Times New Roman" w:eastAsia="仿宋_GB2312"/>
          <w:sz w:val="32"/>
          <w:szCs w:val="32"/>
          <w:lang w:eastAsia="zh-CN"/>
        </w:rPr>
        <w:t>“问政湖南”、网络</w:t>
      </w:r>
      <w:r>
        <w:rPr>
          <w:rFonts w:hint="eastAsia" w:ascii="Times New Roman" w:hAnsi="Times New Roman" w:eastAsia="仿宋_GB2312"/>
          <w:sz w:val="32"/>
          <w:szCs w:val="32"/>
        </w:rPr>
        <w:t>舆情、</w:t>
      </w:r>
      <w:r>
        <w:rPr>
          <w:rFonts w:hint="eastAsia" w:ascii="Times New Roman" w:hAnsi="Times New Roman" w:eastAsia="仿宋_GB2312"/>
          <w:sz w:val="32"/>
          <w:szCs w:val="32"/>
          <w:lang w:eastAsia="zh-CN"/>
        </w:rPr>
        <w:t>群众</w:t>
      </w:r>
      <w:r>
        <w:rPr>
          <w:rFonts w:hint="eastAsia" w:ascii="Times New Roman" w:hAnsi="Times New Roman" w:eastAsia="仿宋_GB2312"/>
          <w:sz w:val="32"/>
          <w:szCs w:val="32"/>
        </w:rPr>
        <w:t>信访</w:t>
      </w:r>
      <w:r>
        <w:rPr>
          <w:rFonts w:hint="eastAsia" w:ascii="Times New Roman" w:hAnsi="Times New Roman" w:eastAsia="仿宋_GB2312"/>
          <w:sz w:val="32"/>
          <w:szCs w:val="32"/>
          <w:lang w:val="en-US" w:eastAsia="zh-CN"/>
        </w:rPr>
        <w:t>142</w:t>
      </w:r>
      <w:r>
        <w:rPr>
          <w:rFonts w:hint="eastAsia" w:ascii="Times New Roman" w:hAnsi="Times New Roman" w:eastAsia="仿宋_GB2312"/>
          <w:sz w:val="32"/>
          <w:szCs w:val="32"/>
        </w:rPr>
        <w:t>件，</w:t>
      </w:r>
      <w:r>
        <w:rPr>
          <w:rFonts w:hint="eastAsia" w:ascii="Times New Roman" w:hAnsi="Times New Roman" w:eastAsia="仿宋_GB2312" w:cs="Times New Roman"/>
          <w:sz w:val="32"/>
          <w:szCs w:val="32"/>
          <w:lang w:eastAsia="zh-CN"/>
        </w:rPr>
        <w:t>均在法定时限内办结、反馈</w:t>
      </w:r>
      <w:r>
        <w:rPr>
          <w:rFonts w:hint="default" w:ascii="Times New Roman" w:hAnsi="Times New Roman" w:eastAsia="仿宋_GB2312" w:cs="Times New Roman"/>
          <w:sz w:val="32"/>
          <w:szCs w:val="32"/>
        </w:rPr>
        <w:t>。</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九、存在的问题及原因分析 </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楷体_GB2312" w:cs="Times New Roman"/>
          <w:b/>
          <w:kern w:val="2"/>
          <w:sz w:val="32"/>
          <w:szCs w:val="32"/>
          <w:lang w:val="en-US" w:eastAsia="zh-CN" w:bidi="ar-SA"/>
        </w:rPr>
        <w:t>（一）</w:t>
      </w:r>
      <w:r>
        <w:rPr>
          <w:rFonts w:hint="eastAsia" w:ascii="Times New Roman" w:hAnsi="Times New Roman" w:eastAsia="仿宋_GB2312" w:cs="Times New Roman"/>
          <w:sz w:val="32"/>
          <w:szCs w:val="32"/>
          <w:lang w:val="en-US" w:eastAsia="zh-CN"/>
        </w:rPr>
        <w:t>预算执行率有待提高。由于财政收支压力较大，部分预算项目未能按计划实施或未按时进行支付导致项目资金预算执行率较低</w:t>
      </w:r>
      <w:r>
        <w:rPr>
          <w:rFonts w:hint="eastAsia" w:ascii="Times New Roman" w:hAnsi="Times New Roman" w:eastAsia="仿宋_GB2312" w:cs="Times New Roman"/>
          <w:sz w:val="32"/>
          <w:szCs w:val="32"/>
          <w:lang w:eastAsia="zh-CN"/>
        </w:rPr>
        <w:t>。</w:t>
      </w:r>
    </w:p>
    <w:p>
      <w:pPr>
        <w:keepNext w:val="0"/>
        <w:keepLines w:val="0"/>
        <w:widowControl/>
        <w:suppressLineNumbers w:val="0"/>
        <w:ind w:firstLine="643" w:firstLineChars="200"/>
        <w:jc w:val="left"/>
        <w:rPr>
          <w:rFonts w:hint="eastAsia" w:ascii="Times New Roman" w:hAnsi="Times New Roman" w:eastAsia="仿宋_GB2312" w:cs="Times New Roman"/>
          <w:sz w:val="32"/>
          <w:szCs w:val="32"/>
          <w:lang w:eastAsia="zh-CN"/>
        </w:rPr>
      </w:pPr>
      <w:r>
        <w:rPr>
          <w:rFonts w:hint="eastAsia" w:ascii="Times New Roman" w:hAnsi="Times New Roman" w:eastAsia="楷体_GB2312" w:cs="Times New Roman"/>
          <w:b/>
          <w:kern w:val="2"/>
          <w:sz w:val="32"/>
          <w:szCs w:val="32"/>
          <w:lang w:val="en-US" w:eastAsia="zh-CN" w:bidi="ar-SA"/>
        </w:rPr>
        <w:t>（二）</w:t>
      </w:r>
      <w:r>
        <w:rPr>
          <w:rFonts w:hint="eastAsia" w:ascii="Times New Roman" w:hAnsi="Times New Roman" w:eastAsia="仿宋_GB2312" w:cs="Times New Roman"/>
          <w:kern w:val="2"/>
          <w:sz w:val="32"/>
          <w:szCs w:val="32"/>
          <w:lang w:val="en-US" w:eastAsia="zh-CN" w:bidi="ar-SA"/>
        </w:rPr>
        <w:t>预算编制不够明确和细化</w:t>
      </w:r>
      <w:r>
        <w:rPr>
          <w:rFonts w:hint="eastAsia" w:ascii="Times New Roman" w:hAnsi="Times New Roman" w:eastAsia="仿宋_GB2312" w:cs="Times New Roman"/>
          <w:sz w:val="32"/>
          <w:szCs w:val="32"/>
          <w:lang w:eastAsia="zh-CN"/>
        </w:rPr>
        <w:t>。预算编制的合理性需要提高，预算执行力度还要进一步加强。资金使用效益有待进一步提高，绩效目标设立不够明确、细化和量化。</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十、下一步改进措施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w:t>
      </w:r>
      <w:r>
        <w:rPr>
          <w:rFonts w:hint="default" w:ascii="Times New Roman" w:hAnsi="Times New Roman" w:eastAsia="仿宋_GB2312" w:cs="Times New Roman"/>
          <w:kern w:val="2"/>
          <w:sz w:val="32"/>
          <w:szCs w:val="32"/>
          <w:lang w:val="en-US" w:eastAsia="zh-CN" w:bidi="ar-SA"/>
        </w:rPr>
        <w:t>细化预算编制。</w:t>
      </w:r>
      <w:r>
        <w:rPr>
          <w:rFonts w:hint="eastAsia" w:ascii="Times New Roman" w:hAnsi="Times New Roman" w:eastAsia="仿宋_GB2312" w:cs="Times New Roman"/>
          <w:kern w:val="2"/>
          <w:sz w:val="32"/>
          <w:szCs w:val="32"/>
          <w:lang w:val="en-US" w:eastAsia="zh-CN" w:bidi="ar-SA"/>
        </w:rPr>
        <w:t>做好预算编报前有关资料的收集、分析，编细、编实项目预算内容。</w:t>
      </w:r>
    </w:p>
    <w:p>
      <w:pPr>
        <w:keepNext w:val="0"/>
        <w:keepLines w:val="0"/>
        <w:widowControl/>
        <w:suppressLineNumbers w:val="0"/>
        <w:ind w:firstLine="640" w:firstLineChars="200"/>
        <w:jc w:val="left"/>
        <w:rPr>
          <w:rFonts w:hint="eastAsia" w:ascii="黑体" w:hAnsi="宋体" w:eastAsia="黑体" w:cs="黑体"/>
          <w:color w:val="000000"/>
          <w:kern w:val="0"/>
          <w:sz w:val="31"/>
          <w:szCs w:val="31"/>
          <w:lang w:val="en-US" w:eastAsia="zh-CN" w:bidi="ar"/>
        </w:rPr>
      </w:pPr>
      <w:r>
        <w:rPr>
          <w:rFonts w:hint="eastAsia" w:ascii="Times New Roman" w:hAnsi="Times New Roman" w:eastAsia="仿宋_GB2312" w:cs="Times New Roman"/>
          <w:kern w:val="2"/>
          <w:sz w:val="32"/>
          <w:szCs w:val="32"/>
          <w:lang w:val="en-US" w:eastAsia="zh-CN" w:bidi="ar-SA"/>
        </w:rPr>
        <w:t>（二）定期对预算执行情况进行分析，制定合理的支出计划，加快资金支付进度。</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十一、绩效自评结果拟应用和公开情况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宋体" w:eastAsia="黑体" w:cs="黑体"/>
          <w:color w:val="000000"/>
          <w:kern w:val="0"/>
          <w:sz w:val="31"/>
          <w:szCs w:val="31"/>
          <w:lang w:val="en-US" w:eastAsia="zh-CN" w:bidi="ar"/>
        </w:rPr>
      </w:pPr>
      <w:r>
        <w:rPr>
          <w:rFonts w:hint="eastAsia" w:ascii="Times New Roman" w:hAnsi="Times New Roman" w:eastAsia="仿宋_GB2312" w:cs="Times New Roman"/>
          <w:color w:val="000000"/>
          <w:sz w:val="32"/>
          <w:szCs w:val="32"/>
          <w:lang w:eastAsia="zh-CN"/>
        </w:rPr>
        <w:t>我单位将以此次绩效自评结果作为本部门完善政策和改进管理的重要依据，并将绩效自评工作转化为提高本部门预算资金使用绩效的具体工作措施，我单位将绩效自评报告在政府门户网站上进行公开，接受社会监督。</w:t>
      </w:r>
    </w:p>
    <w:p>
      <w:pPr>
        <w:keepNext w:val="0"/>
        <w:keepLines w:val="0"/>
        <w:widowControl/>
        <w:suppressLineNumbers w:val="0"/>
        <w:jc w:val="left"/>
        <w:rPr>
          <w:rFonts w:hint="eastAsia" w:ascii="黑体" w:hAnsi="宋体" w:eastAsia="黑体" w:cs="黑体"/>
          <w:color w:val="000000"/>
          <w:kern w:val="0"/>
          <w:sz w:val="31"/>
          <w:szCs w:val="31"/>
          <w:lang w:val="en-US" w:eastAsia="zh-CN" w:bidi="ar"/>
        </w:rPr>
      </w:pPr>
    </w:p>
    <w:p>
      <w:pPr>
        <w:keepNext w:val="0"/>
        <w:keepLines w:val="0"/>
        <w:widowControl/>
        <w:suppressLineNumbers w:val="0"/>
        <w:jc w:val="left"/>
        <w:rPr>
          <w:rFonts w:hint="eastAsia" w:ascii="黑体" w:hAnsi="宋体" w:eastAsia="黑体" w:cs="黑体"/>
          <w:color w:val="000000"/>
          <w:kern w:val="0"/>
          <w:sz w:val="31"/>
          <w:szCs w:val="31"/>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right"/>
        <w:textAlignment w:val="cente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长沙市芙蓉区行政执法大队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center"/>
        <w:textAlignment w:val="cente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 xml:space="preserve">                          2023年6月27日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仿宋">
    <w:altName w:val="微软雅黑"/>
    <w:panose1 w:val="02010609060101010101"/>
    <w:charset w:val="86"/>
    <w:family w:val="auto"/>
    <w:pitch w:val="default"/>
    <w:sig w:usb0="00000000" w:usb1="00000000" w:usb2="00000016" w:usb3="00000000" w:csb0="00040001" w:csb1="00000000"/>
  </w:font>
  <w:font w:name="方正小标宋简体">
    <w:altName w:val="宋体-方正超大字符集"/>
    <w:panose1 w:val="02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0E637C"/>
    <w:rsid w:val="01D4271F"/>
    <w:rsid w:val="02C901BE"/>
    <w:rsid w:val="04C81AC9"/>
    <w:rsid w:val="05761BA7"/>
    <w:rsid w:val="05AC0713"/>
    <w:rsid w:val="084F2DCA"/>
    <w:rsid w:val="09F6799B"/>
    <w:rsid w:val="10CF483E"/>
    <w:rsid w:val="16233F3B"/>
    <w:rsid w:val="184B225D"/>
    <w:rsid w:val="184F37A0"/>
    <w:rsid w:val="19A646A4"/>
    <w:rsid w:val="1D8B5AB7"/>
    <w:rsid w:val="1E32204B"/>
    <w:rsid w:val="202E5FF9"/>
    <w:rsid w:val="21F2030B"/>
    <w:rsid w:val="23952117"/>
    <w:rsid w:val="25690B7B"/>
    <w:rsid w:val="27516878"/>
    <w:rsid w:val="2C1612B9"/>
    <w:rsid w:val="2E6039DC"/>
    <w:rsid w:val="30242932"/>
    <w:rsid w:val="33467ADC"/>
    <w:rsid w:val="334C125E"/>
    <w:rsid w:val="3815085B"/>
    <w:rsid w:val="39B14C25"/>
    <w:rsid w:val="3A8805BB"/>
    <w:rsid w:val="3ACC48EF"/>
    <w:rsid w:val="3CB82983"/>
    <w:rsid w:val="3FB85EB8"/>
    <w:rsid w:val="451C398A"/>
    <w:rsid w:val="461268E0"/>
    <w:rsid w:val="464D5BEC"/>
    <w:rsid w:val="485C1B5D"/>
    <w:rsid w:val="49B97D8C"/>
    <w:rsid w:val="4BBC03CD"/>
    <w:rsid w:val="4DC62DDC"/>
    <w:rsid w:val="4DE1007F"/>
    <w:rsid w:val="52D35629"/>
    <w:rsid w:val="537C336E"/>
    <w:rsid w:val="59487583"/>
    <w:rsid w:val="5A0745BA"/>
    <w:rsid w:val="5B961D8F"/>
    <w:rsid w:val="5E524192"/>
    <w:rsid w:val="5EB76F1A"/>
    <w:rsid w:val="5F5711AE"/>
    <w:rsid w:val="620E637C"/>
    <w:rsid w:val="62791714"/>
    <w:rsid w:val="63C67DE0"/>
    <w:rsid w:val="656E69F3"/>
    <w:rsid w:val="6B925017"/>
    <w:rsid w:val="74A467A1"/>
    <w:rsid w:val="74C44A3F"/>
    <w:rsid w:val="74FE070C"/>
    <w:rsid w:val="75507326"/>
    <w:rsid w:val="7CA6150A"/>
    <w:rsid w:val="7D010DC0"/>
    <w:rsid w:val="7D2B07D7"/>
    <w:rsid w:val="7D315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widowControl/>
      <w:spacing w:before="100" w:beforeAutospacing="1" w:after="100" w:afterAutospacing="1"/>
      <w:jc w:val="left"/>
    </w:pPr>
    <w:rPr>
      <w:rFonts w:ascii="宋体" w:hAnsi="宋体" w:eastAsia="宋体" w:cs="宋体"/>
      <w:kern w:val="0"/>
      <w:sz w:val="24"/>
      <w:szCs w:val="24"/>
      <w:lang w:val="en-US" w:eastAsia="zh-CN" w:bidi="ar-SA"/>
    </w:rPr>
  </w:style>
  <w:style w:type="paragraph" w:styleId="3">
    <w:name w:val="Body Text Indent"/>
    <w:basedOn w:val="1"/>
    <w:qFormat/>
    <w:uiPriority w:val="0"/>
    <w:pPr>
      <w:spacing w:after="120"/>
      <w:ind w:left="420" w:leftChars="200"/>
    </w:pPr>
  </w:style>
  <w:style w:type="paragraph" w:styleId="4">
    <w:name w:val="Normal (Web)"/>
    <w:basedOn w:val="1"/>
    <w:qFormat/>
    <w:uiPriority w:val="0"/>
    <w:pPr>
      <w:jc w:val="left"/>
    </w:pPr>
    <w:rPr>
      <w:rFonts w:ascii="微软雅黑" w:hAnsi="微软雅黑" w:eastAsia="微软雅黑"/>
      <w:color w:val="4C4C4C"/>
      <w:kern w:val="0"/>
      <w:szCs w:val="21"/>
    </w:rPr>
  </w:style>
  <w:style w:type="paragraph" w:styleId="5">
    <w:name w:val="Body Text First Indent 2"/>
    <w:basedOn w:val="3"/>
    <w:qFormat/>
    <w:uiPriority w:val="0"/>
    <w:pPr>
      <w:ind w:firstLine="420" w:firstLineChars="200"/>
    </w:pPr>
    <w:rPr>
      <w:rFonts w:eastAsia="仿宋" w:cs="宋体"/>
      <w:kern w:val="0"/>
      <w:sz w:val="24"/>
    </w:rPr>
  </w:style>
  <w:style w:type="paragraph" w:styleId="8">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2023-06-27T02:02:00Z</dcterms:created>
  <dc:creator>lenovo</dc:creator>
  <cp:lastModifiedBy>lenovo</cp:lastModifiedBy>
  <dcterms:modified xsi:type="dcterms:W3CDTF">2023-10-08T08:39:05Z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