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hint="default" w:ascii="Times New Roman" w:hAnsi="Times New Roman" w:eastAsia="黑体" w:cs="Times New Roman"/>
          <w:b w:val="0"/>
          <w:lang w:bidi="ar"/>
        </w:rPr>
      </w:pPr>
      <w:r>
        <w:rPr>
          <w:rStyle w:val="8"/>
          <w:rFonts w:hint="default" w:ascii="Times New Roman" w:hAnsi="Times New Roman" w:eastAsia="黑体" w:cs="Times New Roman"/>
          <w:b w:val="0"/>
          <w:lang w:bidi="ar"/>
        </w:rPr>
        <w:t>附件</w:t>
      </w:r>
      <w:r>
        <w:rPr>
          <w:rStyle w:val="8"/>
          <w:rFonts w:hint="eastAsia" w:ascii="Times New Roman" w:hAnsi="Times New Roman" w:eastAsia="黑体" w:cs="Times New Roman"/>
          <w:b w:val="0"/>
          <w:lang w:val="en-US" w:eastAsia="zh-CN" w:bidi="ar"/>
        </w:rPr>
        <w:t>4</w:t>
      </w:r>
    </w:p>
    <w:p>
      <w:pPr>
        <w:widowControl/>
        <w:shd w:val="clear" w:color="auto" w:fill="FFFFFF"/>
        <w:spacing w:line="700" w:lineRule="exact"/>
        <w:jc w:val="center"/>
        <w:rPr>
          <w:rFonts w:hint="default" w:ascii="Times New Roman" w:hAnsi="Times New Roman" w:eastAsia="方正小标宋简体" w:cs="Times New Roman"/>
          <w:sz w:val="44"/>
          <w:szCs w:val="44"/>
        </w:rPr>
      </w:pPr>
    </w:p>
    <w:p>
      <w:pPr>
        <w:widowControl/>
        <w:shd w:val="clear" w:color="auto" w:fill="FFFFFF"/>
        <w:spacing w:line="7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长沙市芙蓉区住房和城乡建设局</w:t>
      </w: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both"/>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（一）单位基本情况</w:t>
      </w:r>
      <w:r>
        <w:rPr>
          <w:rFonts w:hint="default" w:ascii="Times New Roman" w:hAnsi="Times New Roman" w:eastAsia="楷体_GB2312" w:cs="Times New Roman"/>
          <w:b/>
          <w:sz w:val="32"/>
          <w:szCs w:val="32"/>
          <w:lang w:eastAsia="zh-CN"/>
        </w:rPr>
        <w:t>。</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eastAsia" w:ascii="仿宋_GB2312" w:hAnsi="Times New Roman" w:eastAsia="仿宋_GB2312"/>
          <w:sz w:val="32"/>
          <w:szCs w:val="32"/>
        </w:rPr>
      </w:pPr>
      <w:r>
        <w:rPr>
          <w:rFonts w:hint="eastAsia" w:ascii="仿宋" w:hAnsi="仿宋" w:eastAsia="仿宋" w:cs="仿宋"/>
          <w:sz w:val="32"/>
          <w:szCs w:val="32"/>
        </w:rPr>
        <w:t>长沙市芙蓉区住房和城乡建设局（长沙市芙蓉区人民防空办公室）组建成立于2019年3月，由原区城乡建设局、区人防办、区住保局合并组建而成，属区政府工作部门。</w:t>
      </w:r>
      <w:r>
        <w:rPr>
          <w:rFonts w:hint="eastAsia" w:ascii="仿宋_GB2312" w:hAnsi="Times New Roman" w:eastAsia="仿宋_GB2312"/>
          <w:sz w:val="32"/>
          <w:szCs w:val="32"/>
        </w:rPr>
        <w:t>芙蓉区</w:t>
      </w:r>
      <w:r>
        <w:rPr>
          <w:rFonts w:hint="eastAsia" w:ascii="仿宋_GB2312" w:hAnsi="Times New Roman" w:eastAsia="仿宋_GB2312"/>
          <w:sz w:val="32"/>
          <w:szCs w:val="32"/>
          <w:lang w:eastAsia="zh-CN"/>
        </w:rPr>
        <w:t>住房和城乡建设</w:t>
      </w:r>
      <w:r>
        <w:rPr>
          <w:rFonts w:hint="eastAsia" w:ascii="仿宋_GB2312" w:hAnsi="Times New Roman" w:eastAsia="仿宋_GB2312"/>
          <w:sz w:val="32"/>
          <w:szCs w:val="32"/>
        </w:rPr>
        <w:t>局核定编制</w:t>
      </w:r>
      <w:r>
        <w:rPr>
          <w:rFonts w:hint="eastAsia" w:ascii="仿宋_GB2312" w:hAnsi="Times New Roman" w:eastAsia="仿宋_GB2312"/>
          <w:sz w:val="32"/>
          <w:szCs w:val="32"/>
          <w:lang w:val="en-US" w:eastAsia="zh-CN"/>
        </w:rPr>
        <w:t>45</w:t>
      </w:r>
      <w:r>
        <w:rPr>
          <w:rFonts w:hint="eastAsia" w:ascii="仿宋_GB2312" w:hAnsi="Times New Roman" w:eastAsia="仿宋_GB2312"/>
          <w:sz w:val="32"/>
          <w:szCs w:val="32"/>
        </w:rPr>
        <w:t>人，截止20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年12月31日，实际在编人数</w:t>
      </w:r>
      <w:r>
        <w:rPr>
          <w:rFonts w:hint="eastAsia" w:ascii="仿宋_GB2312" w:hAnsi="Times New Roman" w:eastAsia="仿宋_GB2312"/>
          <w:sz w:val="32"/>
          <w:szCs w:val="32"/>
          <w:lang w:val="en-US" w:eastAsia="zh-CN"/>
        </w:rPr>
        <w:t>46</w:t>
      </w:r>
      <w:r>
        <w:rPr>
          <w:rFonts w:hint="eastAsia" w:ascii="仿宋_GB2312" w:hAnsi="Times New Roman" w:eastAsia="仿宋_GB2312"/>
          <w:sz w:val="32"/>
          <w:szCs w:val="32"/>
        </w:rPr>
        <w:t>人，</w:t>
      </w:r>
      <w:r>
        <w:rPr>
          <w:rFonts w:hint="eastAsia" w:ascii="仿宋_GB2312" w:hAnsi="Times New Roman" w:eastAsia="仿宋_GB2312"/>
          <w:sz w:val="32"/>
          <w:szCs w:val="32"/>
          <w:lang w:eastAsia="zh-CN"/>
        </w:rPr>
        <w:t>政府雇员</w:t>
      </w:r>
      <w:r>
        <w:rPr>
          <w:rFonts w:hint="eastAsia" w:ascii="仿宋_GB2312" w:hAnsi="Times New Roman" w:eastAsia="仿宋_GB2312"/>
          <w:sz w:val="32"/>
          <w:szCs w:val="32"/>
          <w:lang w:val="en-US" w:eastAsia="zh-CN"/>
        </w:rPr>
        <w:t>4人，</w:t>
      </w:r>
      <w:r>
        <w:rPr>
          <w:rFonts w:hint="eastAsia" w:ascii="仿宋_GB2312" w:hAnsi="Times New Roman" w:eastAsia="仿宋_GB2312"/>
          <w:sz w:val="32"/>
          <w:szCs w:val="32"/>
        </w:rPr>
        <w:t>临聘人员</w:t>
      </w:r>
      <w:r>
        <w:rPr>
          <w:rFonts w:hint="eastAsia" w:ascii="仿宋_GB2312" w:hAnsi="Times New Roman" w:eastAsia="仿宋_GB2312"/>
          <w:sz w:val="32"/>
          <w:szCs w:val="32"/>
          <w:lang w:val="en-US" w:eastAsia="zh-CN"/>
        </w:rPr>
        <w:t>32</w:t>
      </w:r>
      <w:r>
        <w:rPr>
          <w:rFonts w:hint="eastAsia" w:ascii="仿宋_GB2312" w:hAnsi="Times New Roman" w:eastAsia="仿宋_GB2312"/>
          <w:sz w:val="32"/>
          <w:szCs w:val="32"/>
        </w:rPr>
        <w:t>人，退休人员</w:t>
      </w:r>
      <w:r>
        <w:rPr>
          <w:rFonts w:hint="eastAsia" w:ascii="仿宋_GB2312" w:hAnsi="Times New Roman" w:eastAsia="仿宋_GB2312"/>
          <w:sz w:val="32"/>
          <w:szCs w:val="32"/>
          <w:lang w:val="en-US" w:eastAsia="zh-CN"/>
        </w:rPr>
        <w:t>162</w:t>
      </w:r>
      <w:r>
        <w:rPr>
          <w:rFonts w:hint="eastAsia" w:ascii="仿宋_GB2312" w:hAnsi="Times New Roman" w:eastAsia="仿宋_GB2312"/>
          <w:sz w:val="32"/>
          <w:szCs w:val="32"/>
        </w:rPr>
        <w:t>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主要工作职能：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1</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负责辖区范围内建设工程项目招标公告、文件备案案工作;建设工程项目事中事后的监督管理工作;建设工程项目投诉处理工作;负责中标通知书备案工作;负责小额工程库、监理库设计库日常监管和资格审查工作;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2</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负责开展芙蓉区海绵城市专项规划(含大纲)的编制工作并推动其落地工作;负责新型城镇化和“城市双修”日常数据报送和以奖代补资金申报工作;负责 “一圈两场三道”中牵头自行车道建设，协调各建设单位工作;配合市局推广综合管廊的建设实施、推广装配式建筑、推广新型墙材工作;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3</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参与区投资项目可行性研究、方案设计、初步设计评审，参与项目重大设计变更的论证，配合市前期办参与涉及芙蓉区的市重点基础设施建设项目的前期工作;负责施工图审查工作;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4</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区属建筑业企业日常服务指导工作;负责协助区人社完成区域建筑工地和建筑企业农民工工资清欠工作;负责区落实区域范围内在建工地应用“湖南省建筑工人实名制管理平台”工作，指导、督促各项目录入、更新和维护工程实名制相关数据;负责督促区属建筑施工企业设立农民工工资专用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5</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负责二次供水设施的监督管理;参与城区排水专项规划的编制;负责辖区内排水行政许可的行政监管;负责牵头辖区内的水污染治理工作;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6</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负责物业专项维修资金管理活动中一次性表决模式、应急维修模式、三万元以下一般维修模式的监督、审查;负责辖区业主大会、业主委员会、业主、物业企业关于物业维修资金使用的政策性咨询和指导;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7</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负责物业行业日常监管、诚信等级初审、自律信息初审、外驻企业初审、文明创建、安全生产、垃圾分类、项目培育、巡查摸排、“三供一业”、“党建进小区”、扫黑除恶、信访处置、矛盾调处工作;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8</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负责物业管理考核、电梯监督、电梯增设工作;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9）</w:t>
      </w:r>
      <w:r>
        <w:rPr>
          <w:rFonts w:hint="eastAsia" w:ascii="仿宋_GB2312" w:hAnsi="仿宋_GB2312" w:eastAsia="仿宋_GB2312" w:cs="仿宋_GB2312"/>
          <w:i w:val="0"/>
          <w:iCs w:val="0"/>
          <w:caps w:val="0"/>
          <w:color w:val="333333"/>
          <w:spacing w:val="0"/>
          <w:sz w:val="32"/>
          <w:szCs w:val="32"/>
          <w:shd w:val="clear" w:color="auto" w:fill="FFFFFF"/>
        </w:rPr>
        <w:t>负责指导业主大会和业主委员会成立工作;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10</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宣传和执行国家、省、市有关建设工程质量安全方针、政策及法律、法规、标准、规范;负责对区管建设工程各方责任主体的质量安全责任行为及施工现场安全生产、文明施工进行监督检查，及时查处各方责任主体的违法违规行为和施工现场及工程实体存在的质量安全隐患;负责对区管施工现场的安全防护用具及机械设备的使用实施监督管理;负责对区管建筑工地施工技术资料、监理资料以及检测报告等有关工程质量的文件和资料的监督检查;负责对区监项目预拌混凝土质量进行监督检查;负责区管建筑工地督促企业视频扬尘在线监管信息平台建立工作;负责对区管工程竣工验收的监督检查，提交工程质量监督报告和施工安全等级评定申报表;负责对区管建筑工地建设责任主体和有关机构违法、违规行为的调查取证和核实，提出处罚建议或按委托权限实施行政处罚;配合相关部门对辖区内建筑工地质量安全事故进行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11</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负责辖区范围内所有权限内建设项目消防验收和消防验收备案工作;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color="auto" w:fill="FFFFFF"/>
        </w:rPr>
        <w:t>12</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负责辖区监管权限内建筑节能和绿色建筑的牵头工作;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225" w:beforeAutospacing="0" w:after="225" w:afterAutospacing="0" w:line="420" w:lineRule="atLeast"/>
        <w:ind w:right="0" w:firstLine="640" w:firstLineChars="200"/>
        <w:jc w:val="left"/>
        <w:textAlignment w:val="center"/>
        <w:rPr>
          <w:rFonts w:hint="default"/>
          <w:lang w:eastAsia="zh-CN"/>
        </w:rPr>
      </w:pPr>
      <w:r>
        <w:rPr>
          <w:rFonts w:hint="eastAsia" w:ascii="仿宋_GB2312" w:hAnsi="仿宋_GB2312" w:eastAsia="仿宋_GB2312" w:cs="仿宋_GB2312"/>
          <w:i w:val="0"/>
          <w:iCs w:val="0"/>
          <w:caps w:val="0"/>
          <w:color w:val="333333"/>
          <w:spacing w:val="0"/>
          <w:sz w:val="32"/>
          <w:szCs w:val="32"/>
          <w:shd w:val="clear" w:color="auto" w:fill="FFFFFF"/>
        </w:rPr>
        <w:t>13</w:t>
      </w:r>
      <w:r>
        <w:rPr>
          <w:rFonts w:hint="eastAsia" w:ascii="仿宋_GB2312" w:hAnsi="仿宋_GB2312" w:eastAsia="仿宋_GB2312" w:cs="仿宋_GB2312"/>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承办区委、区人民政府和上级主管部门交办的其他事项。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（二）单位</w:t>
      </w:r>
      <w:r>
        <w:rPr>
          <w:rFonts w:hint="default" w:ascii="Times New Roman" w:hAnsi="Times New Roman" w:eastAsia="楷体_GB2312" w:cs="Times New Roman"/>
          <w:b/>
          <w:sz w:val="32"/>
          <w:szCs w:val="32"/>
          <w:lang w:eastAsia="zh-CN"/>
        </w:rPr>
        <w:t>整体支出规模、使用方向和主要内容、涉及范围等。</w:t>
      </w:r>
    </w:p>
    <w:p>
      <w:pPr>
        <w:widowControl/>
        <w:spacing w:line="480" w:lineRule="atLeast"/>
        <w:ind w:firstLine="480"/>
        <w:jc w:val="left"/>
        <w:textAlignment w:val="center"/>
        <w:rPr>
          <w:rFonts w:hint="eastAsia" w:ascii="仿宋_GB2312" w:hAnsi="仿宋_GB2312" w:eastAsia="仿宋_GB2312" w:cs="仿宋_GB2312"/>
          <w:kern w:val="0"/>
          <w:sz w:val="32"/>
          <w:szCs w:val="32"/>
          <w:highlight w:val="yellow"/>
          <w:lang w:val="en" w:eastAsia="zh-CN"/>
        </w:rPr>
      </w:pPr>
      <w:r>
        <w:rPr>
          <w:rFonts w:hint="eastAsia" w:ascii="仿宋_GB2312" w:hAnsi="仿宋_GB2312" w:eastAsia="仿宋_GB2312" w:cs="仿宋_GB2312"/>
          <w:kern w:val="0"/>
          <w:sz w:val="32"/>
          <w:szCs w:val="32"/>
          <w:highlight w:val="none"/>
          <w:lang w:val="en"/>
        </w:rPr>
        <w:t>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lang w:val="en"/>
        </w:rPr>
        <w:t>年区财政局年初批复</w:t>
      </w:r>
      <w:r>
        <w:rPr>
          <w:rFonts w:hint="eastAsia" w:ascii="仿宋_GB2312" w:hAnsi="仿宋_GB2312" w:eastAsia="仿宋_GB2312" w:cs="仿宋_GB2312"/>
          <w:sz w:val="32"/>
          <w:szCs w:val="32"/>
          <w:highlight w:val="none"/>
          <w:lang w:val="en-US" w:eastAsia="zh-CN"/>
        </w:rPr>
        <w:t>3120.69</w:t>
      </w:r>
      <w:r>
        <w:rPr>
          <w:rFonts w:hint="eastAsia" w:ascii="仿宋_GB2312" w:hAnsi="仿宋_GB2312" w:eastAsia="仿宋_GB2312" w:cs="仿宋_GB2312"/>
          <w:kern w:val="0"/>
          <w:sz w:val="32"/>
          <w:szCs w:val="32"/>
          <w:highlight w:val="none"/>
          <w:lang w:val="en"/>
        </w:rPr>
        <w:t>万元，</w:t>
      </w:r>
      <w:r>
        <w:rPr>
          <w:rFonts w:hint="eastAsia" w:ascii="仿宋_GB2312" w:hAnsi="仿宋_GB2312" w:eastAsia="仿宋_GB2312" w:cs="仿宋_GB2312"/>
          <w:kern w:val="0"/>
          <w:sz w:val="32"/>
          <w:szCs w:val="32"/>
          <w:highlight w:val="none"/>
          <w:lang w:val="en" w:eastAsia="zh-CN"/>
        </w:rPr>
        <w:t>全年实际到位资金</w:t>
      </w:r>
      <w:r>
        <w:rPr>
          <w:rFonts w:hint="eastAsia" w:ascii="仿宋_GB2312" w:hAnsi="仿宋_GB2312" w:eastAsia="仿宋_GB2312" w:cs="仿宋_GB2312"/>
          <w:kern w:val="0"/>
          <w:sz w:val="32"/>
          <w:szCs w:val="32"/>
          <w:highlight w:val="none"/>
          <w:lang w:val="en-US" w:eastAsia="zh-CN"/>
        </w:rPr>
        <w:t>5969.29万元，</w:t>
      </w:r>
      <w:r>
        <w:rPr>
          <w:rFonts w:hint="eastAsia" w:ascii="仿宋_GB2312" w:hAnsi="仿宋_GB2312" w:eastAsia="仿宋_GB2312" w:cs="仿宋_GB2312"/>
          <w:kern w:val="0"/>
          <w:sz w:val="32"/>
          <w:szCs w:val="32"/>
          <w:highlight w:val="none"/>
          <w:lang w:val="en" w:eastAsia="zh-CN"/>
        </w:rPr>
        <w:t>实际支出</w:t>
      </w:r>
      <w:r>
        <w:rPr>
          <w:rFonts w:hint="eastAsia" w:ascii="仿宋_GB2312" w:hAnsi="仿宋_GB2312" w:eastAsia="仿宋_GB2312" w:cs="仿宋_GB2312"/>
          <w:kern w:val="0"/>
          <w:sz w:val="32"/>
          <w:szCs w:val="32"/>
          <w:highlight w:val="none"/>
          <w:lang w:val="en-US" w:eastAsia="zh-CN"/>
        </w:rPr>
        <w:t>9546.45万元，</w:t>
      </w:r>
      <w:r>
        <w:rPr>
          <w:rFonts w:hint="eastAsia" w:ascii="仿宋_GB2312" w:hAnsi="仿宋_GB2312" w:eastAsia="仿宋_GB2312" w:cs="仿宋_GB2312"/>
          <w:kern w:val="0"/>
          <w:sz w:val="32"/>
          <w:szCs w:val="32"/>
          <w:highlight w:val="none"/>
          <w:lang w:val="en"/>
        </w:rPr>
        <w:t>其中:基本支出</w:t>
      </w:r>
      <w:r>
        <w:rPr>
          <w:rFonts w:hint="eastAsia" w:ascii="仿宋_GB2312" w:hAnsi="仿宋_GB2312" w:eastAsia="仿宋_GB2312" w:cs="仿宋_GB2312"/>
          <w:sz w:val="32"/>
          <w:szCs w:val="32"/>
          <w:highlight w:val="none"/>
          <w:lang w:val="en-US" w:eastAsia="zh-CN"/>
        </w:rPr>
        <w:t>2788.34</w:t>
      </w:r>
      <w:r>
        <w:rPr>
          <w:rFonts w:hint="eastAsia" w:ascii="仿宋_GB2312" w:hAnsi="仿宋_GB2312" w:eastAsia="仿宋_GB2312" w:cs="仿宋_GB2312"/>
          <w:kern w:val="0"/>
          <w:sz w:val="32"/>
          <w:szCs w:val="32"/>
          <w:highlight w:val="none"/>
          <w:lang w:val="en"/>
        </w:rPr>
        <w:t>万元，项目支出</w:t>
      </w:r>
      <w:r>
        <w:rPr>
          <w:rFonts w:hint="eastAsia" w:ascii="仿宋_GB2312" w:hAnsi="仿宋_GB2312" w:eastAsia="仿宋_GB2312" w:cs="仿宋_GB2312"/>
          <w:sz w:val="32"/>
          <w:szCs w:val="32"/>
          <w:highlight w:val="none"/>
          <w:lang w:val="en-US" w:eastAsia="zh-CN"/>
        </w:rPr>
        <w:t>6758.11</w:t>
      </w:r>
      <w:r>
        <w:rPr>
          <w:rFonts w:hint="eastAsia" w:ascii="仿宋_GB2312" w:hAnsi="仿宋_GB2312" w:eastAsia="仿宋_GB2312" w:cs="仿宋_GB2312"/>
          <w:kern w:val="0"/>
          <w:sz w:val="32"/>
          <w:szCs w:val="32"/>
          <w:highlight w:val="none"/>
          <w:lang w:val="en"/>
        </w:rPr>
        <w:t>万元</w:t>
      </w:r>
      <w:r>
        <w:rPr>
          <w:rFonts w:hint="eastAsia" w:ascii="仿宋_GB2312" w:hAnsi="仿宋_GB2312" w:eastAsia="仿宋_GB2312" w:cs="仿宋_GB2312"/>
          <w:kern w:val="0"/>
          <w:sz w:val="32"/>
          <w:szCs w:val="32"/>
          <w:highlight w:val="none"/>
          <w:lang w:val="en" w:eastAsia="zh-CN"/>
        </w:rPr>
        <w:t>；</w:t>
      </w:r>
      <w:r>
        <w:rPr>
          <w:rFonts w:hint="default" w:ascii="Times New Roman" w:hAnsi="Times New Roman" w:eastAsia="仿宋_GB2312" w:cs="Times New Roman"/>
          <w:sz w:val="32"/>
          <w:szCs w:val="32"/>
          <w:lang w:val="en-US" w:eastAsia="zh-CN"/>
        </w:rPr>
        <w:t>上年结余</w:t>
      </w:r>
      <w:r>
        <w:rPr>
          <w:rFonts w:hint="eastAsia" w:ascii="Times New Roman" w:hAnsi="Times New Roman" w:eastAsia="仿宋_GB2312" w:cs="Times New Roman"/>
          <w:sz w:val="32"/>
          <w:szCs w:val="32"/>
          <w:lang w:val="en-US" w:eastAsia="zh-CN"/>
        </w:rPr>
        <w:t>3577.16</w:t>
      </w:r>
      <w:r>
        <w:rPr>
          <w:rFonts w:hint="default" w:ascii="Times New Roman" w:hAnsi="Times New Roman" w:eastAsia="仿宋_GB2312" w:cs="Times New Roman"/>
          <w:sz w:val="32"/>
          <w:szCs w:val="32"/>
          <w:lang w:val="en-US" w:eastAsia="zh-CN"/>
        </w:rPr>
        <w:t>万元，本年结余</w:t>
      </w:r>
      <w:r>
        <w:rPr>
          <w:rFonts w:hint="eastAsia"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eastAsia="zh-CN"/>
        </w:rPr>
        <w:t>万元。</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widowControl/>
        <w:spacing w:line="480" w:lineRule="atLeast"/>
        <w:ind w:firstLine="640" w:firstLineChars="200"/>
        <w:jc w:val="left"/>
        <w:textAlignment w:val="center"/>
        <w:rPr>
          <w:rFonts w:hint="eastAsia" w:ascii="仿宋_GB2312" w:hAnsi="仿宋_GB2312" w:eastAsia="仿宋_GB2312" w:cs="仿宋_GB2312"/>
          <w:b w:val="0"/>
          <w:bCs w:val="0"/>
          <w:kern w:val="0"/>
          <w:sz w:val="32"/>
          <w:szCs w:val="32"/>
          <w:lang w:val="en"/>
        </w:rPr>
      </w:pPr>
      <w:r>
        <w:rPr>
          <w:rFonts w:hint="eastAsia" w:ascii="仿宋_GB2312" w:hAnsi="仿宋_GB2312" w:eastAsia="仿宋_GB2312" w:cs="仿宋_GB2312"/>
          <w:b w:val="0"/>
          <w:bCs w:val="0"/>
          <w:kern w:val="0"/>
          <w:sz w:val="32"/>
          <w:szCs w:val="32"/>
          <w:lang w:val="en"/>
        </w:rPr>
        <w:t>1、基本支出主要包括，人员工资福利支出、商品和服务支出、对个人和家庭的补助等。</w:t>
      </w:r>
    </w:p>
    <w:p>
      <w:pPr>
        <w:widowControl/>
        <w:spacing w:line="480" w:lineRule="atLeast"/>
        <w:ind w:firstLine="480"/>
        <w:jc w:val="left"/>
        <w:textAlignment w:val="center"/>
        <w:rPr>
          <w:rFonts w:hint="eastAsia" w:ascii="仿宋_GB2312" w:hAnsi="仿宋_GB2312" w:eastAsia="仿宋_GB2312" w:cs="仿宋_GB2312"/>
          <w:b w:val="0"/>
          <w:bCs w:val="0"/>
          <w:color w:val="FF0000"/>
          <w:kern w:val="0"/>
          <w:sz w:val="32"/>
          <w:szCs w:val="32"/>
          <w:highlight w:val="yellow"/>
          <w:lang w:val="en"/>
        </w:rPr>
      </w:pP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20</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21</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年区财政局年初批复我</w:t>
      </w:r>
      <w:r>
        <w:rPr>
          <w:rFonts w:hint="eastAsia" w:ascii="仿宋_GB2312" w:hAnsi="仿宋_GB2312" w:eastAsia="仿宋_GB2312" w:cs="仿宋_GB2312"/>
          <w:b w:val="0"/>
          <w:bCs w:val="0"/>
          <w:color w:val="000000" w:themeColor="text1"/>
          <w:kern w:val="0"/>
          <w:sz w:val="32"/>
          <w:szCs w:val="32"/>
          <w:highlight w:val="none"/>
          <w:lang w:val="en" w:eastAsia="zh-CN"/>
          <w14:textFill>
            <w14:solidFill>
              <w14:schemeClr w14:val="tx1"/>
            </w14:solidFill>
          </w14:textFill>
        </w:rPr>
        <w:t>住建</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局部门预算总收入</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3120.69</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万元，本年部门决算总收入</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5969.29</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万元，其中:财政拨款</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5968.79</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万元，其他收入</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0.5</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万。部门预算总支出</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3120.69</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万元，本年部门决算总支出</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9546.45</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万元，其中:基本支出</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2788.34</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万元，包括工资福利支出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1518.76</w:t>
      </w:r>
      <w:r>
        <w:rPr>
          <w:rFonts w:hint="eastAsia" w:ascii="仿宋_GB2312" w:hAnsi="仿宋_GB2312" w:eastAsia="仿宋_GB2312" w:cs="仿宋_GB2312"/>
          <w:b w:val="0"/>
          <w:bCs w:val="0"/>
          <w:color w:val="000000" w:themeColor="text1"/>
          <w:kern w:val="0"/>
          <w:sz w:val="32"/>
          <w:szCs w:val="32"/>
          <w:highlight w:val="none"/>
          <w:lang w:val="en"/>
          <w14:textFill>
            <w14:solidFill>
              <w14:schemeClr w14:val="tx1"/>
            </w14:solidFill>
          </w14:textFill>
        </w:rPr>
        <w:t>万元，商品和服务支出</w:t>
      </w: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98.29</w:t>
      </w:r>
      <w:r>
        <w:rPr>
          <w:rFonts w:hint="eastAsia" w:ascii="仿宋_GB2312" w:hAnsi="仿宋_GB2312" w:eastAsia="仿宋_GB2312" w:cs="仿宋_GB2312"/>
          <w:b w:val="0"/>
          <w:bCs w:val="0"/>
          <w:color w:val="000000"/>
          <w:kern w:val="0"/>
          <w:sz w:val="32"/>
          <w:szCs w:val="32"/>
          <w:highlight w:val="none"/>
          <w:lang w:val="en"/>
        </w:rPr>
        <w:t>万元，对个人和家庭补助经费支</w:t>
      </w:r>
      <w:r>
        <w:rPr>
          <w:rFonts w:hint="eastAsia" w:ascii="仿宋_GB2312" w:hAnsi="仿宋_GB2312" w:eastAsia="仿宋_GB2312" w:cs="仿宋_GB2312"/>
          <w:b w:val="0"/>
          <w:bCs w:val="0"/>
          <w:color w:val="000000"/>
          <w:kern w:val="0"/>
          <w:sz w:val="32"/>
          <w:szCs w:val="32"/>
          <w:highlight w:val="none"/>
          <w:lang w:val="en" w:eastAsia="zh-CN"/>
        </w:rPr>
        <w:t>出</w:t>
      </w:r>
      <w:r>
        <w:rPr>
          <w:rFonts w:hint="eastAsia" w:ascii="仿宋_GB2312" w:hAnsi="仿宋_GB2312" w:eastAsia="仿宋_GB2312" w:cs="仿宋_GB2312"/>
          <w:b w:val="0"/>
          <w:bCs w:val="0"/>
          <w:color w:val="000000"/>
          <w:kern w:val="0"/>
          <w:sz w:val="32"/>
          <w:szCs w:val="32"/>
          <w:highlight w:val="none"/>
          <w:lang w:val="en-US" w:eastAsia="zh-CN"/>
        </w:rPr>
        <w:t xml:space="preserve">  1171.29 </w:t>
      </w:r>
      <w:r>
        <w:rPr>
          <w:rFonts w:hint="eastAsia" w:ascii="仿宋_GB2312" w:hAnsi="仿宋_GB2312" w:eastAsia="仿宋_GB2312" w:cs="仿宋_GB2312"/>
          <w:b w:val="0"/>
          <w:bCs w:val="0"/>
          <w:color w:val="000000"/>
          <w:kern w:val="0"/>
          <w:sz w:val="32"/>
          <w:szCs w:val="32"/>
          <w:highlight w:val="none"/>
          <w:lang w:val="en"/>
        </w:rPr>
        <w:t>万元。项目支出</w:t>
      </w:r>
      <w:r>
        <w:rPr>
          <w:rFonts w:hint="eastAsia" w:ascii="仿宋_GB2312" w:hAnsi="仿宋_GB2312" w:eastAsia="仿宋_GB2312" w:cs="仿宋_GB2312"/>
          <w:b w:val="0"/>
          <w:bCs w:val="0"/>
          <w:color w:val="000000"/>
          <w:kern w:val="0"/>
          <w:sz w:val="32"/>
          <w:szCs w:val="32"/>
          <w:highlight w:val="none"/>
          <w:lang w:val="en-US" w:eastAsia="zh-CN"/>
        </w:rPr>
        <w:t>6758.11</w:t>
      </w:r>
      <w:r>
        <w:rPr>
          <w:rFonts w:hint="eastAsia" w:ascii="仿宋_GB2312" w:hAnsi="仿宋_GB2312" w:eastAsia="仿宋_GB2312" w:cs="仿宋_GB2312"/>
          <w:b w:val="0"/>
          <w:bCs w:val="0"/>
          <w:color w:val="000000"/>
          <w:kern w:val="0"/>
          <w:sz w:val="32"/>
          <w:szCs w:val="32"/>
          <w:highlight w:val="none"/>
          <w:lang w:val="en"/>
        </w:rPr>
        <w:t>万元，包括工资福利支出</w:t>
      </w:r>
      <w:r>
        <w:rPr>
          <w:rFonts w:hint="eastAsia" w:ascii="仿宋_GB2312" w:hAnsi="仿宋_GB2312" w:eastAsia="仿宋_GB2312" w:cs="仿宋_GB2312"/>
          <w:b w:val="0"/>
          <w:bCs w:val="0"/>
          <w:color w:val="000000"/>
          <w:kern w:val="0"/>
          <w:sz w:val="32"/>
          <w:szCs w:val="32"/>
          <w:highlight w:val="none"/>
          <w:lang w:val="en-US" w:eastAsia="zh-CN"/>
        </w:rPr>
        <w:t>14.32</w:t>
      </w:r>
      <w:r>
        <w:rPr>
          <w:rFonts w:hint="eastAsia" w:ascii="仿宋_GB2312" w:hAnsi="仿宋_GB2312" w:eastAsia="仿宋_GB2312" w:cs="仿宋_GB2312"/>
          <w:b w:val="0"/>
          <w:bCs w:val="0"/>
          <w:color w:val="000000"/>
          <w:kern w:val="0"/>
          <w:sz w:val="32"/>
          <w:szCs w:val="32"/>
          <w:highlight w:val="none"/>
          <w:lang w:val="en"/>
        </w:rPr>
        <w:t>万元，商品和服务支出</w:t>
      </w:r>
      <w:r>
        <w:rPr>
          <w:rFonts w:hint="eastAsia" w:ascii="仿宋_GB2312" w:hAnsi="仿宋_GB2312" w:eastAsia="仿宋_GB2312" w:cs="仿宋_GB2312"/>
          <w:b w:val="0"/>
          <w:bCs w:val="0"/>
          <w:color w:val="000000"/>
          <w:kern w:val="0"/>
          <w:sz w:val="32"/>
          <w:szCs w:val="32"/>
          <w:highlight w:val="none"/>
          <w:lang w:val="en-US" w:eastAsia="zh-CN"/>
        </w:rPr>
        <w:t xml:space="preserve">   160.51</w:t>
      </w:r>
      <w:r>
        <w:rPr>
          <w:rFonts w:hint="eastAsia" w:ascii="仿宋_GB2312" w:hAnsi="仿宋_GB2312" w:eastAsia="仿宋_GB2312" w:cs="仿宋_GB2312"/>
          <w:b w:val="0"/>
          <w:bCs w:val="0"/>
          <w:color w:val="000000"/>
          <w:kern w:val="0"/>
          <w:sz w:val="32"/>
          <w:szCs w:val="32"/>
          <w:highlight w:val="none"/>
          <w:lang w:val="en"/>
        </w:rPr>
        <w:t>万元，</w:t>
      </w:r>
      <w:r>
        <w:rPr>
          <w:rFonts w:hint="eastAsia" w:ascii="仿宋_GB2312" w:hAnsi="仿宋_GB2312" w:eastAsia="仿宋_GB2312" w:cs="仿宋_GB2312"/>
          <w:b w:val="0"/>
          <w:bCs w:val="0"/>
          <w:color w:val="000000"/>
          <w:kern w:val="0"/>
          <w:sz w:val="32"/>
          <w:szCs w:val="32"/>
          <w:highlight w:val="none"/>
          <w:lang w:val="en" w:eastAsia="zh-CN"/>
        </w:rPr>
        <w:t>对个人和家庭的补助</w:t>
      </w:r>
      <w:r>
        <w:rPr>
          <w:rFonts w:hint="eastAsia" w:ascii="仿宋_GB2312" w:hAnsi="仿宋_GB2312" w:eastAsia="仿宋_GB2312" w:cs="仿宋_GB2312"/>
          <w:b w:val="0"/>
          <w:bCs w:val="0"/>
          <w:color w:val="000000"/>
          <w:kern w:val="0"/>
          <w:sz w:val="32"/>
          <w:szCs w:val="32"/>
          <w:highlight w:val="none"/>
          <w:lang w:val="en-US" w:eastAsia="zh-CN"/>
        </w:rPr>
        <w:t>70.05万元，</w:t>
      </w:r>
      <w:r>
        <w:rPr>
          <w:rFonts w:hint="eastAsia" w:ascii="仿宋_GB2312" w:hAnsi="仿宋_GB2312" w:eastAsia="仿宋_GB2312" w:cs="仿宋_GB2312"/>
          <w:b w:val="0"/>
          <w:bCs w:val="0"/>
          <w:color w:val="000000"/>
          <w:kern w:val="0"/>
          <w:sz w:val="32"/>
          <w:szCs w:val="32"/>
          <w:highlight w:val="none"/>
          <w:lang w:val="en"/>
        </w:rPr>
        <w:t>资本性支出</w:t>
      </w:r>
      <w:r>
        <w:rPr>
          <w:rFonts w:hint="eastAsia" w:ascii="仿宋_GB2312" w:hAnsi="仿宋_GB2312" w:eastAsia="仿宋_GB2312" w:cs="仿宋_GB2312"/>
          <w:b w:val="0"/>
          <w:bCs w:val="0"/>
          <w:color w:val="000000"/>
          <w:kern w:val="0"/>
          <w:sz w:val="32"/>
          <w:szCs w:val="32"/>
          <w:highlight w:val="none"/>
          <w:lang w:val="en-US" w:eastAsia="zh-CN"/>
        </w:rPr>
        <w:t xml:space="preserve"> 6332.22  </w:t>
      </w:r>
      <w:r>
        <w:rPr>
          <w:rFonts w:hint="eastAsia" w:ascii="仿宋_GB2312" w:hAnsi="仿宋_GB2312" w:eastAsia="仿宋_GB2312" w:cs="仿宋_GB2312"/>
          <w:b w:val="0"/>
          <w:bCs w:val="0"/>
          <w:color w:val="000000"/>
          <w:kern w:val="0"/>
          <w:sz w:val="32"/>
          <w:szCs w:val="32"/>
          <w:highlight w:val="none"/>
          <w:lang w:val="en"/>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pStyle w:val="4"/>
        <w:ind w:firstLine="640"/>
        <w:rPr>
          <w:rFonts w:ascii="仿宋_GB2312" w:eastAsia="仿宋_GB2312" w:cs="Times New Roman"/>
          <w:b w:val="0"/>
          <w:sz w:val="32"/>
          <w:szCs w:val="32"/>
        </w:rPr>
      </w:pPr>
      <w:r>
        <w:rPr>
          <w:rFonts w:hint="eastAsia" w:ascii="仿宋_GB2312" w:eastAsia="仿宋_GB2312" w:cs="Times New Roman"/>
          <w:b w:val="0"/>
          <w:sz w:val="32"/>
          <w:szCs w:val="32"/>
        </w:rPr>
        <w:t>1、物业管理工作经费</w:t>
      </w:r>
    </w:p>
    <w:p>
      <w:pPr>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该项目年初预算资金</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万元，20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年实际收到财政拨款项目资金</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万元，该项目支出主要用于物业管理费、制作物业文明文明公约公示牌、物业加班用餐</w:t>
      </w:r>
      <w:r>
        <w:rPr>
          <w:rFonts w:hint="eastAsia" w:ascii="仿宋_GB2312" w:hAnsi="Times New Roman" w:eastAsia="仿宋_GB2312"/>
          <w:sz w:val="32"/>
          <w:szCs w:val="32"/>
          <w:lang w:eastAsia="zh-CN"/>
        </w:rPr>
        <w:t>等</w:t>
      </w:r>
      <w:r>
        <w:rPr>
          <w:rFonts w:hint="eastAsia" w:ascii="仿宋_GB2312" w:hAnsi="Times New Roman" w:eastAsia="仿宋_GB2312"/>
          <w:sz w:val="32"/>
          <w:szCs w:val="32"/>
        </w:rPr>
        <w:t>，资金结余原因系</w:t>
      </w:r>
      <w:r>
        <w:rPr>
          <w:rFonts w:hint="eastAsia" w:ascii="仿宋_GB2312" w:hAnsi="Times New Roman" w:eastAsia="仿宋_GB2312"/>
          <w:sz w:val="32"/>
          <w:szCs w:val="32"/>
          <w:lang w:eastAsia="zh-CN"/>
        </w:rPr>
        <w:t>预留用于聘请第三方评估机构对街道物业管理服务质量进行综合评定</w:t>
      </w:r>
      <w:r>
        <w:rPr>
          <w:rFonts w:hint="eastAsia" w:ascii="仿宋_GB2312" w:hAnsi="Times New Roman" w:eastAsia="仿宋_GB2312"/>
          <w:sz w:val="32"/>
          <w:szCs w:val="32"/>
        </w:rPr>
        <w:t>。</w:t>
      </w:r>
    </w:p>
    <w:p>
      <w:pPr>
        <w:pStyle w:val="4"/>
        <w:ind w:left="420" w:leftChars="200" w:firstLine="320" w:firstLineChars="100"/>
        <w:rPr>
          <w:rFonts w:ascii="仿宋_GB2312" w:eastAsia="仿宋_GB2312" w:cs="Times New Roman"/>
          <w:b w:val="0"/>
          <w:sz w:val="32"/>
          <w:szCs w:val="32"/>
        </w:rPr>
      </w:pPr>
      <w:r>
        <w:rPr>
          <w:rFonts w:hint="eastAsia" w:ascii="仿宋_GB2312" w:eastAsia="仿宋_GB2312" w:cs="Times New Roman"/>
          <w:b w:val="0"/>
          <w:sz w:val="32"/>
          <w:szCs w:val="32"/>
          <w:lang w:val="en-US" w:eastAsia="zh-CN"/>
        </w:rPr>
        <w:t>2</w:t>
      </w:r>
      <w:r>
        <w:rPr>
          <w:rFonts w:hint="eastAsia" w:ascii="仿宋_GB2312" w:eastAsia="仿宋_GB2312" w:cs="Times New Roman"/>
          <w:b w:val="0"/>
          <w:sz w:val="32"/>
          <w:szCs w:val="32"/>
        </w:rPr>
        <w:t>、危房排查鉴定费</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该项目年初预算15万元，</w:t>
      </w:r>
      <w:r>
        <w:rPr>
          <w:rFonts w:hint="eastAsia" w:ascii="仿宋_GB2312" w:hAnsi="Times New Roman" w:eastAsia="仿宋_GB2312"/>
          <w:sz w:val="32"/>
          <w:szCs w:val="32"/>
          <w:lang w:val="en-US" w:eastAsia="zh-CN"/>
        </w:rPr>
        <w:t>2021</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15</w:t>
      </w:r>
      <w:r>
        <w:rPr>
          <w:rFonts w:hint="eastAsia" w:ascii="仿宋_GB2312" w:hAnsi="Times New Roman" w:eastAsia="仿宋_GB2312"/>
          <w:sz w:val="32"/>
          <w:szCs w:val="32"/>
        </w:rPr>
        <w:t>万元，该项目支出主要用于</w:t>
      </w:r>
      <w:r>
        <w:rPr>
          <w:rFonts w:hint="eastAsia" w:ascii="仿宋_GB2312" w:hAnsi="Times New Roman" w:eastAsia="仿宋_GB2312"/>
          <w:sz w:val="32"/>
          <w:szCs w:val="32"/>
          <w:lang w:val="en-US" w:eastAsia="zh-CN"/>
        </w:rPr>
        <w:t>危房鉴定检测费</w:t>
      </w:r>
      <w:r>
        <w:rPr>
          <w:rFonts w:hint="eastAsia" w:ascii="仿宋_GB2312" w:hAnsi="Times New Roman" w:eastAsia="仿宋_GB2312"/>
          <w:sz w:val="32"/>
          <w:szCs w:val="32"/>
        </w:rPr>
        <w:t>。</w:t>
      </w:r>
    </w:p>
    <w:p>
      <w:pPr>
        <w:spacing w:line="360" w:lineRule="auto"/>
        <w:ind w:firstLine="640" w:firstLineChars="200"/>
        <w:rPr>
          <w:rFonts w:ascii="仿宋_GB2312" w:eastAsia="仿宋_GB2312" w:cs="Times New Roman"/>
          <w:b w:val="0"/>
          <w:sz w:val="32"/>
          <w:szCs w:val="32"/>
        </w:rPr>
      </w:pPr>
      <w:r>
        <w:rPr>
          <w:rFonts w:hint="eastAsia" w:ascii="仿宋_GB2312" w:eastAsia="仿宋_GB2312" w:cs="Times New Roman"/>
          <w:b w:val="0"/>
          <w:sz w:val="32"/>
          <w:szCs w:val="32"/>
          <w:lang w:val="en-US" w:eastAsia="zh-CN"/>
        </w:rPr>
        <w:t>3</w:t>
      </w:r>
      <w:r>
        <w:rPr>
          <w:rFonts w:hint="eastAsia" w:ascii="仿宋_GB2312" w:eastAsia="仿宋_GB2312" w:cs="Times New Roman"/>
          <w:b w:val="0"/>
          <w:sz w:val="32"/>
          <w:szCs w:val="32"/>
        </w:rPr>
        <w:t>、施工图审查</w:t>
      </w:r>
    </w:p>
    <w:p>
      <w:pPr>
        <w:spacing w:line="360" w:lineRule="auto"/>
        <w:ind w:firstLine="640" w:firstLineChars="200"/>
        <w:rPr>
          <w:rFonts w:ascii="仿宋_GB2312" w:hAnsi="Times New Roman" w:eastAsia="仿宋_GB2312"/>
          <w:bCs/>
          <w:sz w:val="32"/>
          <w:szCs w:val="32"/>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60</w:t>
      </w:r>
      <w:r>
        <w:rPr>
          <w:rFonts w:hint="eastAsia" w:ascii="仿宋_GB2312" w:hAnsi="Times New Roman" w:eastAsia="仿宋_GB2312"/>
          <w:sz w:val="32"/>
          <w:szCs w:val="32"/>
        </w:rPr>
        <w:t>万元，20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60</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。该项目支出主要用于工程项目施工图审查费用。</w:t>
      </w:r>
    </w:p>
    <w:p>
      <w:pPr>
        <w:pStyle w:val="4"/>
        <w:ind w:firstLine="640"/>
        <w:rPr>
          <w:rFonts w:hint="eastAsia" w:ascii="仿宋_GB2312" w:eastAsia="仿宋_GB2312" w:cs="Times New Roman"/>
          <w:b w:val="0"/>
          <w:sz w:val="32"/>
          <w:szCs w:val="32"/>
          <w:lang w:eastAsia="zh-CN"/>
        </w:rPr>
      </w:pPr>
      <w:r>
        <w:rPr>
          <w:rFonts w:hint="eastAsia" w:ascii="仿宋_GB2312" w:eastAsia="仿宋_GB2312" w:cs="Times New Roman"/>
          <w:b w:val="0"/>
          <w:sz w:val="32"/>
          <w:szCs w:val="32"/>
          <w:lang w:val="en-US" w:eastAsia="zh-CN"/>
        </w:rPr>
        <w:t>4</w:t>
      </w:r>
      <w:r>
        <w:rPr>
          <w:rFonts w:hint="eastAsia" w:ascii="仿宋_GB2312" w:eastAsia="仿宋_GB2312" w:cs="Times New Roman"/>
          <w:b w:val="0"/>
          <w:sz w:val="32"/>
          <w:szCs w:val="32"/>
        </w:rPr>
        <w:t>、</w:t>
      </w:r>
      <w:r>
        <w:rPr>
          <w:rFonts w:hint="eastAsia" w:ascii="仿宋_GB2312" w:eastAsia="仿宋_GB2312" w:cs="Times New Roman"/>
          <w:b w:val="0"/>
          <w:sz w:val="32"/>
          <w:szCs w:val="32"/>
          <w:lang w:eastAsia="zh-CN"/>
        </w:rPr>
        <w:t>扬尘系统平台维护费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7.88</w:t>
      </w:r>
      <w:r>
        <w:rPr>
          <w:rFonts w:hint="eastAsia" w:ascii="仿宋_GB2312" w:hAnsi="Times New Roman" w:eastAsia="仿宋_GB2312"/>
          <w:sz w:val="32"/>
          <w:szCs w:val="32"/>
        </w:rPr>
        <w:t>万元，20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7.88</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该项目支出用于</w:t>
      </w:r>
      <w:r>
        <w:rPr>
          <w:rFonts w:hint="eastAsia" w:ascii="仿宋_GB2312" w:hAnsi="Times New Roman" w:eastAsia="仿宋_GB2312"/>
          <w:bCs/>
          <w:sz w:val="32"/>
          <w:szCs w:val="32"/>
          <w:lang w:eastAsia="zh-CN"/>
        </w:rPr>
        <w:t>芙蓉区海绵城市专项规划服务费。</w:t>
      </w:r>
    </w:p>
    <w:p>
      <w:pPr>
        <w:pStyle w:val="4"/>
        <w:ind w:firstLine="640"/>
        <w:rPr>
          <w:rFonts w:hint="eastAsia" w:ascii="仿宋_GB2312" w:eastAsia="仿宋_GB2312" w:cs="Times New Roman"/>
          <w:b w:val="0"/>
          <w:sz w:val="32"/>
          <w:szCs w:val="32"/>
          <w:lang w:val="en-US" w:eastAsia="zh-CN"/>
        </w:rPr>
      </w:pPr>
      <w:r>
        <w:rPr>
          <w:rFonts w:hint="eastAsia" w:ascii="仿宋_GB2312" w:eastAsia="仿宋_GB2312" w:cs="Times New Roman"/>
          <w:b w:val="0"/>
          <w:sz w:val="32"/>
          <w:szCs w:val="32"/>
          <w:lang w:val="en-US" w:eastAsia="zh-CN"/>
        </w:rPr>
        <w:t>5、纪检工作经费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w:t>
      </w:r>
      <w:r>
        <w:rPr>
          <w:rFonts w:hint="eastAsia" w:ascii="仿宋_GB2312" w:hAnsi="Times New Roman" w:eastAsia="仿宋_GB2312"/>
          <w:bCs/>
          <w:sz w:val="32"/>
          <w:szCs w:val="32"/>
          <w:lang w:eastAsia="zh-CN"/>
        </w:rPr>
        <w:t>用于纪检专项工作。</w:t>
      </w:r>
    </w:p>
    <w:p>
      <w:pPr>
        <w:pStyle w:val="4"/>
        <w:ind w:left="0" w:leftChars="0" w:firstLine="640" w:firstLineChars="200"/>
        <w:rPr>
          <w:rFonts w:hint="eastAsia" w:ascii="仿宋_GB2312" w:eastAsia="仿宋_GB2312" w:cs="Times New Roman"/>
          <w:b w:val="0"/>
          <w:sz w:val="32"/>
          <w:szCs w:val="32"/>
          <w:lang w:eastAsia="zh-CN"/>
        </w:rPr>
      </w:pPr>
      <w:r>
        <w:rPr>
          <w:rFonts w:hint="eastAsia" w:ascii="仿宋_GB2312" w:eastAsia="仿宋_GB2312" w:cs="Times New Roman"/>
          <w:b w:val="0"/>
          <w:sz w:val="32"/>
          <w:szCs w:val="32"/>
          <w:lang w:val="en-US" w:eastAsia="zh-CN"/>
        </w:rPr>
        <w:t>6</w:t>
      </w:r>
      <w:r>
        <w:rPr>
          <w:rFonts w:hint="eastAsia" w:ascii="仿宋_GB2312" w:eastAsia="仿宋_GB2312" w:cs="Times New Roman"/>
          <w:b w:val="0"/>
          <w:sz w:val="32"/>
          <w:szCs w:val="32"/>
        </w:rPr>
        <w:t>、</w:t>
      </w:r>
      <w:r>
        <w:rPr>
          <w:rFonts w:hint="eastAsia" w:ascii="仿宋_GB2312" w:eastAsia="仿宋_GB2312" w:cs="Times New Roman"/>
          <w:b w:val="0"/>
          <w:sz w:val="32"/>
          <w:szCs w:val="32"/>
          <w:lang w:eastAsia="zh-CN"/>
        </w:rPr>
        <w:t>住房保障年检年审费</w:t>
      </w:r>
    </w:p>
    <w:p>
      <w:pPr>
        <w:spacing w:line="360" w:lineRule="auto"/>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sz w:val="32"/>
          <w:szCs w:val="32"/>
        </w:rPr>
        <w:t>该项目年初预算</w:t>
      </w:r>
      <w:r>
        <w:rPr>
          <w:rFonts w:hint="eastAsia" w:ascii="仿宋_GB2312" w:hAnsi="Times New Roman" w:eastAsia="仿宋_GB2312"/>
          <w:sz w:val="32"/>
          <w:szCs w:val="32"/>
          <w:lang w:val="en-US" w:eastAsia="zh-CN"/>
        </w:rPr>
        <w:t>6</w:t>
      </w:r>
      <w:r>
        <w:rPr>
          <w:rFonts w:hint="eastAsia" w:ascii="仿宋_GB2312" w:hAnsi="Times New Roman" w:eastAsia="仿宋_GB2312"/>
          <w:sz w:val="32"/>
          <w:szCs w:val="32"/>
        </w:rPr>
        <w:t>万元，20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年实际收到财政拨款资金万元</w:t>
      </w:r>
      <w:r>
        <w:rPr>
          <w:rFonts w:hint="eastAsia" w:ascii="仿宋_GB2312" w:hAnsi="Times New Roman" w:eastAsia="仿宋_GB2312"/>
          <w:bCs/>
          <w:sz w:val="32"/>
          <w:szCs w:val="32"/>
        </w:rPr>
        <w:t>。该项目支出用于</w:t>
      </w:r>
      <w:r>
        <w:rPr>
          <w:rFonts w:hint="eastAsia" w:ascii="仿宋_GB2312" w:hAnsi="Times New Roman" w:eastAsia="仿宋_GB2312"/>
          <w:bCs/>
          <w:sz w:val="32"/>
          <w:szCs w:val="32"/>
          <w:lang w:eastAsia="zh-CN"/>
        </w:rPr>
        <w:t>年检资料打印及宣传。</w:t>
      </w:r>
    </w:p>
    <w:p>
      <w:pPr>
        <w:numPr>
          <w:ilvl w:val="0"/>
          <w:numId w:val="0"/>
        </w:numPr>
        <w:spacing w:line="360" w:lineRule="auto"/>
        <w:ind w:firstLine="640" w:firstLineChars="200"/>
        <w:rPr>
          <w:rFonts w:hint="default" w:ascii="仿宋_GB2312" w:hAnsi="Times New Roman" w:eastAsia="仿宋_GB2312"/>
          <w:bCs/>
          <w:sz w:val="32"/>
          <w:szCs w:val="32"/>
          <w:lang w:val="en-US" w:eastAsia="zh-CN"/>
        </w:rPr>
      </w:pPr>
      <w:r>
        <w:rPr>
          <w:rFonts w:hint="eastAsia" w:ascii="仿宋_GB2312" w:hAnsi="Times New Roman" w:eastAsia="仿宋_GB2312"/>
          <w:bCs/>
          <w:sz w:val="32"/>
          <w:szCs w:val="32"/>
          <w:lang w:val="en-US" w:eastAsia="zh-CN"/>
        </w:rPr>
        <w:t>7、房地产信息咨询专项工作经费预算5万元，</w:t>
      </w:r>
      <w:r>
        <w:rPr>
          <w:rFonts w:hint="eastAsia" w:ascii="仿宋_GB2312" w:hAnsi="Times New Roman" w:eastAsia="仿宋_GB2312"/>
          <w:sz w:val="32"/>
          <w:szCs w:val="32"/>
        </w:rPr>
        <w:t>20</w:t>
      </w:r>
      <w:r>
        <w:rPr>
          <w:rFonts w:hint="eastAsia" w:ascii="仿宋_GB2312" w:hAnsi="Times New Roman" w:eastAsia="仿宋_GB2312"/>
          <w:sz w:val="32"/>
          <w:szCs w:val="32"/>
          <w:lang w:val="en-US" w:eastAsia="zh-CN"/>
        </w:rPr>
        <w:t>21</w:t>
      </w:r>
      <w:r>
        <w:rPr>
          <w:rFonts w:hint="eastAsia" w:ascii="仿宋_GB2312" w:hAnsi="Times New Roman" w:eastAsia="仿宋_GB2312"/>
          <w:sz w:val="32"/>
          <w:szCs w:val="32"/>
        </w:rPr>
        <w:t>年实际收到财政拨款资金</w:t>
      </w:r>
      <w:r>
        <w:rPr>
          <w:rFonts w:hint="eastAsia" w:ascii="仿宋_GB2312" w:hAnsi="Times New Roman" w:eastAsia="仿宋_GB2312"/>
          <w:sz w:val="32"/>
          <w:szCs w:val="32"/>
          <w:lang w:val="en-US" w:eastAsia="zh-CN"/>
        </w:rPr>
        <w:t>5</w:t>
      </w:r>
      <w:r>
        <w:rPr>
          <w:rFonts w:hint="eastAsia" w:ascii="仿宋_GB2312" w:hAnsi="Times New Roman" w:eastAsia="仿宋_GB2312"/>
          <w:sz w:val="32"/>
          <w:szCs w:val="32"/>
        </w:rPr>
        <w:t>万元</w:t>
      </w:r>
      <w:r>
        <w:rPr>
          <w:rFonts w:hint="eastAsia" w:ascii="仿宋_GB2312" w:hAnsi="Times New Roman" w:eastAsia="仿宋_GB2312"/>
          <w:bCs/>
          <w:sz w:val="32"/>
          <w:szCs w:val="32"/>
        </w:rPr>
        <w:t>。该项目支出用于</w:t>
      </w:r>
      <w:r>
        <w:rPr>
          <w:rFonts w:hint="eastAsia" w:ascii="仿宋_GB2312" w:hAnsi="Times New Roman" w:eastAsia="仿宋_GB2312"/>
          <w:bCs/>
          <w:sz w:val="32"/>
          <w:szCs w:val="32"/>
          <w:lang w:eastAsia="zh-CN"/>
        </w:rPr>
        <w:t>签订信息咨询合同服务费。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numPr>
          <w:ilvl w:val="0"/>
          <w:numId w:val="0"/>
        </w:num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施工图审查方面，区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关于开展政府购买房屋建筑和市政基础设施施工图审查服务的通知》（长住建发[2018]9号文件）执行，通过湖南省施工图管理信息系统确定项目施工图审查服务机构，并与该审查机构签订《服务合同》，审查完成后支付相关费用。</w:t>
      </w:r>
    </w:p>
    <w:p>
      <w:pPr>
        <w:numPr>
          <w:ilvl w:val="0"/>
          <w:numId w:val="0"/>
        </w:numPr>
        <w:spacing w:line="360" w:lineRule="auto"/>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危房排查鉴定费：区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长沙市房屋安全管理条例》对危房进行管理，建立房屋安全信息管理台账，收集管理下列房屋安全管理信息如房屋结构类型、竣工日期和设计使用年限以及建设、勘察、设计、施工、监理等单位的名称，建立危险房屋台账，并对危险房屋的治理和使用情况进行动态管理。</w:t>
      </w:r>
    </w:p>
    <w:p>
      <w:pPr>
        <w:numPr>
          <w:ilvl w:val="0"/>
          <w:numId w:val="0"/>
        </w:numPr>
        <w:spacing w:line="360" w:lineRule="auto"/>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rPr>
        <w:t>物业管理工作方面，区</w:t>
      </w:r>
      <w:r>
        <w:rPr>
          <w:rFonts w:hint="eastAsia" w:ascii="仿宋_GB2312" w:hAnsi="Times New Roman" w:eastAsia="仿宋_GB2312"/>
          <w:sz w:val="32"/>
          <w:szCs w:val="32"/>
          <w:lang w:eastAsia="zh-CN"/>
        </w:rPr>
        <w:t>住建</w:t>
      </w:r>
      <w:r>
        <w:rPr>
          <w:rFonts w:hint="eastAsia" w:ascii="仿宋_GB2312" w:hAnsi="Times New Roman" w:eastAsia="仿宋_GB2312"/>
          <w:sz w:val="32"/>
          <w:szCs w:val="32"/>
        </w:rPr>
        <w:t>局根据《关于全面推进物业管理工作的实施意见的通知》（长办发[2016]20号）文件执行，通过召开各类会议、宣传活动、督促检查等形式，加大安全生产宣传和监督检查力度，做好全区玻璃幕墙安全排查工作，杜绝各类安全事故的发生。</w:t>
      </w:r>
    </w:p>
    <w:p>
      <w:pPr>
        <w:numPr>
          <w:ilvl w:val="0"/>
          <w:numId w:val="0"/>
        </w:numPr>
        <w:spacing w:line="360" w:lineRule="auto"/>
        <w:ind w:firstLine="640" w:firstLineChars="200"/>
        <w:jc w:val="left"/>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年检年审工作方面，根据长住保发[201</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22</w:t>
      </w:r>
      <w:r>
        <w:rPr>
          <w:rFonts w:hint="eastAsia" w:ascii="仿宋_GB2312" w:hAnsi="Times New Roman" w:eastAsia="仿宋_GB2312"/>
          <w:sz w:val="32"/>
          <w:szCs w:val="32"/>
          <w:lang w:eastAsia="zh-CN"/>
        </w:rPr>
        <w:t>号文件要求对住保对象的资格进行复查工作，全面做好年检年审工作。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根据《事业单位财务规则》等相关规定，对于符合固定资产标准的资产，及时纳入固定资产核算和管理，同时及时登记资产管理台账。对于系统内资产的处置，严格按相关规定办理资产处置手续，并及时进行账务处理。安排专人对固定资产进行管理，定期对固定资产进行盘点检查，登记固定资产的使用情况，确保国有资产的保值。</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仿宋_GB2312" w:eastAsia="仿宋_GB2312" w:cs="仿宋_GB2312"/>
          <w:sz w:val="32"/>
          <w:szCs w:val="32"/>
          <w:lang w:val="en-US" w:eastAsia="zh-CN"/>
        </w:rPr>
        <w:t>无</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spacing w:line="600" w:lineRule="exact"/>
        <w:ind w:firstLine="420" w:firstLineChars="200"/>
        <w:rPr>
          <w:rFonts w:hint="eastAsia" w:ascii="仿宋" w:hAnsi="仿宋" w:eastAsia="仿宋" w:cs="华文楷体"/>
          <w:bCs/>
          <w:sz w:val="32"/>
          <w:szCs w:val="32"/>
        </w:rPr>
      </w:pPr>
      <w:r>
        <w:rPr>
          <w:rFonts w:hint="eastAsia"/>
          <w:lang w:val="en-US" w:eastAsia="zh-CN"/>
        </w:rPr>
        <w:t xml:space="preserve">  </w:t>
      </w:r>
      <w:r>
        <w:rPr>
          <w:rFonts w:hint="eastAsia" w:ascii="仿宋" w:hAnsi="仿宋" w:eastAsia="仿宋" w:cs="华文楷体"/>
          <w:bCs/>
          <w:sz w:val="32"/>
          <w:szCs w:val="32"/>
        </w:rPr>
        <w:t>2</w:t>
      </w:r>
      <w:r>
        <w:rPr>
          <w:rFonts w:ascii="仿宋" w:hAnsi="仿宋" w:eastAsia="仿宋" w:cs="华文楷体"/>
          <w:bCs/>
          <w:sz w:val="32"/>
          <w:szCs w:val="32"/>
        </w:rPr>
        <w:t>0</w:t>
      </w:r>
      <w:r>
        <w:rPr>
          <w:rFonts w:hint="eastAsia" w:ascii="仿宋" w:hAnsi="仿宋" w:eastAsia="仿宋" w:cs="华文楷体"/>
          <w:bCs/>
          <w:sz w:val="32"/>
          <w:szCs w:val="32"/>
          <w:lang w:val="en-US" w:eastAsia="zh-CN"/>
        </w:rPr>
        <w:t>21</w:t>
      </w:r>
      <w:r>
        <w:rPr>
          <w:rFonts w:hint="eastAsia" w:ascii="仿宋" w:hAnsi="仿宋" w:eastAsia="仿宋" w:cs="华文楷体"/>
          <w:bCs/>
          <w:sz w:val="32"/>
          <w:szCs w:val="32"/>
        </w:rPr>
        <w:t>年，</w:t>
      </w:r>
      <w:r>
        <w:rPr>
          <w:rFonts w:hint="eastAsia" w:ascii="仿宋" w:hAnsi="仿宋" w:eastAsia="仿宋" w:cs="华文楷体"/>
          <w:bCs/>
          <w:sz w:val="32"/>
          <w:szCs w:val="32"/>
          <w:lang w:eastAsia="zh-CN"/>
        </w:rPr>
        <w:t>区住建局各项工作全面完成，其主要成果及效益情况如下：</w:t>
      </w:r>
    </w:p>
    <w:p>
      <w:pPr>
        <w:numPr>
          <w:ilvl w:val="0"/>
          <w:numId w:val="2"/>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协助全区完成新增“四上”企业达</w:t>
      </w:r>
      <w:r>
        <w:rPr>
          <w:rFonts w:ascii="仿宋" w:hAnsi="仿宋" w:eastAsia="仿宋" w:cs="华文楷体"/>
          <w:bCs/>
          <w:sz w:val="32"/>
          <w:szCs w:val="32"/>
        </w:rPr>
        <w:t>30</w:t>
      </w:r>
      <w:r>
        <w:rPr>
          <w:rFonts w:hint="eastAsia" w:ascii="仿宋" w:hAnsi="仿宋" w:eastAsia="仿宋" w:cs="华文楷体"/>
          <w:bCs/>
          <w:sz w:val="32"/>
          <w:szCs w:val="32"/>
        </w:rPr>
        <w:t>家。</w:t>
      </w:r>
    </w:p>
    <w:p>
      <w:pPr>
        <w:numPr>
          <w:ilvl w:val="0"/>
          <w:numId w:val="2"/>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坚定“保刚需、稳房价、反炒房”调控目标，</w:t>
      </w:r>
      <w:r>
        <w:rPr>
          <w:rFonts w:hint="eastAsia" w:ascii="仿宋" w:hAnsi="仿宋" w:eastAsia="仿宋" w:cs="华文楷体"/>
          <w:bCs/>
          <w:sz w:val="32"/>
          <w:szCs w:val="32"/>
          <w:lang w:eastAsia="zh-CN"/>
        </w:rPr>
        <w:t>稳定</w:t>
      </w:r>
      <w:r>
        <w:rPr>
          <w:rFonts w:hint="eastAsia" w:ascii="仿宋" w:hAnsi="仿宋" w:eastAsia="仿宋" w:cs="华文楷体"/>
          <w:bCs/>
          <w:sz w:val="32"/>
          <w:szCs w:val="32"/>
        </w:rPr>
        <w:t>我区房地产网签均价，较好地保持了我区房地产市场平稳健康发展。</w:t>
      </w:r>
    </w:p>
    <w:p>
      <w:pPr>
        <w:numPr>
          <w:ilvl w:val="0"/>
          <w:numId w:val="2"/>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持续开展精品小区示范点创建，在打造物业服务精品小区、保障房管理精品小区、商业地产精品小区方面持续发力，多措并举，取得了良好的成效。</w:t>
      </w:r>
    </w:p>
    <w:p>
      <w:pPr>
        <w:numPr>
          <w:ilvl w:val="0"/>
          <w:numId w:val="2"/>
        </w:numPr>
        <w:spacing w:line="600" w:lineRule="exact"/>
        <w:ind w:firstLine="640" w:firstLineChars="200"/>
        <w:rPr>
          <w:rFonts w:hint="eastAsia" w:ascii="仿宋" w:hAnsi="仿宋" w:eastAsia="仿宋" w:cs="华文楷体"/>
          <w:bCs/>
          <w:sz w:val="32"/>
          <w:szCs w:val="32"/>
        </w:rPr>
      </w:pPr>
      <w:r>
        <w:rPr>
          <w:rFonts w:hint="eastAsia" w:ascii="仿宋" w:hAnsi="仿宋" w:eastAsia="仿宋" w:cs="华文楷体"/>
          <w:bCs/>
          <w:sz w:val="32"/>
          <w:szCs w:val="32"/>
        </w:rPr>
        <w:t>突出打好碧水攻坚战，巩固黑臭水体治理成效，协助市里推动了杨家湾撇洪渠水环境综合整治，完成了我区农大片区雨污分流一期改造工程，率先在全市实现了旱季全截污、全收集、全处理。</w:t>
      </w:r>
    </w:p>
    <w:p>
      <w:pPr>
        <w:numPr>
          <w:ilvl w:val="0"/>
          <w:numId w:val="2"/>
        </w:numPr>
        <w:spacing w:line="600" w:lineRule="exact"/>
        <w:ind w:firstLine="640" w:firstLineChars="200"/>
        <w:rPr>
          <w:rFonts w:hint="default" w:eastAsia="宋体"/>
          <w:lang w:val="en-US" w:eastAsia="zh-CN"/>
        </w:rPr>
      </w:pPr>
      <w:r>
        <w:rPr>
          <w:rFonts w:hint="eastAsia" w:ascii="仿宋" w:hAnsi="仿宋" w:eastAsia="仿宋" w:cs="华文楷体"/>
          <w:bCs/>
          <w:sz w:val="32"/>
          <w:szCs w:val="32"/>
        </w:rPr>
        <w:t>全面铺开电梯加装工作，引导和支持我区老旧住宅小区加装电梯，超额完成了年度目标任务。</w:t>
      </w:r>
    </w:p>
    <w:p>
      <w:pPr>
        <w:pStyle w:val="9"/>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pStyle w:val="3"/>
        <w:spacing w:before="0" w:after="0" w:line="360" w:lineRule="auto"/>
        <w:ind w:left="420" w:leftChars="200"/>
        <w:rPr>
          <w:rFonts w:ascii="楷体_GB2312" w:eastAsia="楷体_GB2312"/>
        </w:rPr>
      </w:pPr>
      <w:r>
        <w:rPr>
          <w:rFonts w:hint="eastAsia" w:ascii="楷体_GB2312" w:hAnsi="Times New Roman" w:eastAsia="楷体_GB2312"/>
          <w:bCs w:val="0"/>
        </w:rPr>
        <w:t>（一）</w:t>
      </w:r>
      <w:r>
        <w:rPr>
          <w:rFonts w:hint="eastAsia" w:ascii="楷体_GB2312" w:eastAsia="楷体_GB2312"/>
        </w:rPr>
        <w:t>绩效指标设定有待完善</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部门绩效指标设定不合理。</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630" w:leftChars="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十、</w:t>
      </w:r>
      <w:r>
        <w:rPr>
          <w:rFonts w:hint="default" w:ascii="Times New Roman" w:hAnsi="Times New Roman" w:eastAsia="黑体" w:cs="Times New Roman"/>
          <w:sz w:val="32"/>
          <w:szCs w:val="32"/>
        </w:rPr>
        <w:t>下一步改进措施</w:t>
      </w:r>
    </w:p>
    <w:p>
      <w:pPr>
        <w:pStyle w:val="4"/>
        <w:ind w:firstLine="640"/>
        <w:rPr>
          <w:rFonts w:eastAsia="仿宋_GB2312" w:cs="Times New Roman"/>
          <w:bCs w:val="0"/>
          <w:szCs w:val="32"/>
        </w:rPr>
      </w:pPr>
      <w:r>
        <w:rPr>
          <w:rFonts w:hint="eastAsia"/>
          <w:lang w:val="en-US" w:eastAsia="zh-CN"/>
        </w:rPr>
        <w:t xml:space="preserve">  </w:t>
      </w:r>
      <w:r>
        <w:rPr>
          <w:rFonts w:hint="eastAsia" w:eastAsia="仿宋_GB2312" w:cs="Times New Roman"/>
          <w:bCs w:val="0"/>
          <w:szCs w:val="32"/>
        </w:rPr>
        <w:t>1</w:t>
      </w:r>
      <w:r>
        <w:rPr>
          <w:rFonts w:eastAsia="仿宋_GB2312" w:cs="Times New Roman"/>
          <w:bCs w:val="0"/>
          <w:szCs w:val="32"/>
        </w:rPr>
        <w:t xml:space="preserve">、科学合理编制预算 </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建议按照《预算法》及其实施条例的相关规定，参考上一年的预算执行情况、年初资金结余情况和年度中的收支预测科学编制预算，使编制的预算更加细化便于操作，尽量减少对预算的调整；并根据实际情况申请政府采购，提高政府采购的执行率。</w:t>
      </w:r>
    </w:p>
    <w:p>
      <w:pPr>
        <w:spacing w:line="360" w:lineRule="auto"/>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rPr>
        <w:t>2、规范绩效目标编制，及时设定健全、细化、合理及便于量化的绩效目标。</w:t>
      </w:r>
    </w:p>
    <w:p>
      <w:pPr>
        <w:pStyle w:val="4"/>
        <w:rPr>
          <w:rFonts w:eastAsia="仿宋_GB2312" w:cs="Times New Roman"/>
          <w:bCs w:val="0"/>
          <w:szCs w:val="32"/>
        </w:rPr>
      </w:pPr>
      <w:r>
        <w:rPr>
          <w:rFonts w:hint="eastAsia" w:eastAsia="仿宋_GB2312" w:cs="Times New Roman"/>
          <w:bCs w:val="0"/>
          <w:szCs w:val="32"/>
        </w:rPr>
        <w:t>3、</w:t>
      </w:r>
      <w:r>
        <w:rPr>
          <w:rFonts w:eastAsia="仿宋_GB2312" w:cs="Times New Roman"/>
          <w:bCs w:val="0"/>
          <w:szCs w:val="32"/>
        </w:rPr>
        <w:t>完善项目管理</w:t>
      </w:r>
      <w:r>
        <w:rPr>
          <w:rFonts w:hint="eastAsia" w:eastAsia="仿宋_GB2312" w:cs="Times New Roman"/>
          <w:bCs w:val="0"/>
          <w:szCs w:val="32"/>
        </w:rPr>
        <w:t>制度</w:t>
      </w:r>
      <w:r>
        <w:rPr>
          <w:rFonts w:eastAsia="仿宋_GB2312" w:cs="Times New Roman"/>
          <w:bCs w:val="0"/>
          <w:szCs w:val="32"/>
        </w:rPr>
        <w:t>，强化项目监督</w:t>
      </w:r>
      <w:r>
        <w:rPr>
          <w:rFonts w:hint="eastAsia" w:eastAsia="仿宋_GB2312" w:cs="Times New Roman"/>
          <w:bCs w:val="0"/>
          <w:szCs w:val="32"/>
        </w:rPr>
        <w:t>机制。</w:t>
      </w:r>
    </w:p>
    <w:p>
      <w:pPr>
        <w:pStyle w:val="2"/>
        <w:numPr>
          <w:ilvl w:val="0"/>
          <w:numId w:val="0"/>
        </w:numPr>
        <w:ind w:leftChars="200"/>
        <w:rPr>
          <w:rFonts w:hint="default" w:eastAsia="宋体"/>
          <w:lang w:val="en-US" w:eastAsia="zh-CN"/>
        </w:rPr>
      </w:pP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bookmarkStart w:id="0" w:name="_GoBack"/>
      <w:bookmarkEnd w:id="0"/>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长沙市芙蓉区住房和城乡建设局</w:t>
      </w:r>
    </w:p>
    <w:p>
      <w:pPr>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2022年4月28日</w:t>
      </w: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p>
      <w:pPr>
        <w:pStyle w:val="2"/>
        <w:rPr>
          <w:rFonts w:hint="eastAsia" w:ascii="Times New Roman" w:hAnsi="Times New Roman" w:eastAsia="黑体" w:cs="Times New Roman"/>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024B9"/>
    <w:multiLevelType w:val="singleLevel"/>
    <w:tmpl w:val="B8C024B9"/>
    <w:lvl w:ilvl="0" w:tentative="0">
      <w:start w:val="1"/>
      <w:numFmt w:val="decimal"/>
      <w:suff w:val="nothing"/>
      <w:lvlText w:val="%1、"/>
      <w:lvlJc w:val="left"/>
    </w:lvl>
  </w:abstractNum>
  <w:abstractNum w:abstractNumId="1">
    <w:nsid w:val="40B856EA"/>
    <w:multiLevelType w:val="singleLevel"/>
    <w:tmpl w:val="40B856EA"/>
    <w:lvl w:ilvl="0" w:tentative="0">
      <w:start w:val="5"/>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90F52"/>
    <w:rsid w:val="39E91921"/>
    <w:rsid w:val="3A190F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paragraph" w:styleId="4">
    <w:name w:val="heading 4"/>
    <w:basedOn w:val="1"/>
    <w:next w:val="1"/>
    <w:unhideWhenUsed/>
    <w:qFormat/>
    <w:uiPriority w:val="0"/>
    <w:pPr>
      <w:keepNext/>
      <w:keepLines/>
      <w:spacing w:line="360" w:lineRule="auto"/>
      <w:ind w:firstLine="200" w:firstLineChars="200"/>
      <w:outlineLvl w:val="3"/>
    </w:pPr>
    <w:rPr>
      <w:rFonts w:ascii="Times New Roman" w:hAnsi="Times New Roman" w:eastAsia="仿宋" w:cs="Times New Roman"/>
      <w:bCs/>
      <w:sz w:val="32"/>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font112"/>
    <w:basedOn w:val="7"/>
    <w:qFormat/>
    <w:uiPriority w:val="0"/>
    <w:rPr>
      <w:rFonts w:hint="eastAsia" w:ascii="宋体" w:hAnsi="宋体" w:eastAsia="宋体" w:cs="宋体"/>
      <w:b/>
      <w:bCs/>
      <w:color w:val="000000"/>
      <w:sz w:val="32"/>
      <w:szCs w:val="32"/>
      <w:u w:val="none"/>
    </w:rPr>
  </w:style>
  <w:style w:type="paragraph" w:styleId="9">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2022-04-28T06:27:00Z</dcterms:created>
  <dc:creator>NM27</dc:creator>
  <cp:lastModifiedBy>NM27</cp:lastModifiedBy>
  <dcterms:modified xsi:type="dcterms:W3CDTF">2022-04-28T06:32:29Z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FA1C50AC016A41678CD7189B6DFB7946</vt:lpwstr>
  </property>
</Properties>
</file>