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7"/>
          <w:rFonts w:hint="eastAsia" w:ascii="Times New Roman" w:hAnsi="Times New Roman" w:eastAsia="黑体" w:cs="Times New Roman"/>
          <w:b w:val="0"/>
          <w:lang w:val="en-US" w:eastAsia="zh-CN" w:bidi="ar"/>
        </w:rPr>
      </w:pPr>
      <w:r>
        <w:rPr>
          <w:rStyle w:val="7"/>
          <w:rFonts w:hint="default" w:ascii="Times New Roman" w:hAnsi="Times New Roman" w:eastAsia="黑体" w:cs="Times New Roman"/>
          <w:b w:val="0"/>
          <w:lang w:bidi="ar"/>
        </w:rPr>
        <w:t>附件</w:t>
      </w:r>
      <w:r>
        <w:rPr>
          <w:rStyle w:val="7"/>
          <w:rFonts w:hint="eastAsia" w:ascii="Times New Roman" w:hAnsi="Times New Roman" w:eastAsia="黑体" w:cs="Times New Roman"/>
          <w:b w:val="0"/>
          <w:lang w:val="en-US" w:eastAsia="zh-CN" w:bidi="ar"/>
        </w:rPr>
        <w:t>2</w:t>
      </w:r>
    </w:p>
    <w:p>
      <w:pPr>
        <w:spacing w:line="600" w:lineRule="exact"/>
        <w:jc w:val="center"/>
        <w:rPr>
          <w:rFonts w:hint="eastAsia" w:ascii="Times New Roman" w:hAnsi="Times New Roman" w:eastAsia="方正小标宋简体" w:cs="Times New Roman"/>
          <w:sz w:val="36"/>
          <w:szCs w:val="36"/>
          <w:lang w:val="en-US" w:eastAsia="zh-CN"/>
        </w:rPr>
      </w:pPr>
    </w:p>
    <w:p>
      <w:pPr>
        <w:spacing w:line="600" w:lineRule="exact"/>
        <w:jc w:val="center"/>
        <w:rPr>
          <w:rFonts w:hint="eastAsia" w:ascii="Times New Roman" w:hAnsi="Times New Roman" w:eastAsia="方正小标宋简体" w:cs="Times New Roman"/>
          <w:sz w:val="36"/>
          <w:szCs w:val="36"/>
          <w:lang w:val="en-US" w:eastAsia="zh-CN"/>
        </w:rPr>
      </w:pPr>
      <w:bookmarkStart w:id="1" w:name="_GoBack"/>
      <w:r>
        <w:rPr>
          <w:rFonts w:hint="eastAsia" w:ascii="Times New Roman" w:hAnsi="Times New Roman" w:eastAsia="方正小标宋简体" w:cs="Times New Roman"/>
          <w:sz w:val="36"/>
          <w:szCs w:val="36"/>
          <w:lang w:val="en-US" w:eastAsia="zh-CN"/>
        </w:rPr>
        <w:t>2021</w:t>
      </w:r>
      <w:r>
        <w:rPr>
          <w:rFonts w:hint="default" w:ascii="Times New Roman" w:hAnsi="Times New Roman" w:eastAsia="方正小标宋简体" w:cs="Times New Roman"/>
          <w:sz w:val="36"/>
          <w:szCs w:val="36"/>
        </w:rPr>
        <w:t>年度</w:t>
      </w:r>
      <w:r>
        <w:rPr>
          <w:rFonts w:hint="eastAsia" w:ascii="Times New Roman" w:hAnsi="Times New Roman" w:eastAsia="方正小标宋简体" w:cs="Times New Roman"/>
          <w:sz w:val="36"/>
          <w:szCs w:val="36"/>
          <w:lang w:val="en-US" w:eastAsia="zh-CN"/>
        </w:rPr>
        <w:t>芙蓉区工业和信息化局整体支出绩效自评</w:t>
      </w:r>
    </w:p>
    <w:p>
      <w:pPr>
        <w:spacing w:line="600" w:lineRule="exact"/>
        <w:jc w:val="center"/>
        <w:rPr>
          <w:rFonts w:hint="eastAsia" w:ascii="Times New Roman" w:hAnsi="Times New Roman" w:eastAsia="方正小标宋简体" w:cs="Times New Roman"/>
          <w:sz w:val="36"/>
          <w:szCs w:val="36"/>
          <w:lang w:val="en-US" w:eastAsia="zh-CN"/>
        </w:rPr>
      </w:pPr>
      <w:r>
        <w:rPr>
          <w:rFonts w:hint="eastAsia" w:ascii="Times New Roman" w:hAnsi="Times New Roman" w:eastAsia="方正小标宋简体" w:cs="Times New Roman"/>
          <w:sz w:val="36"/>
          <w:szCs w:val="36"/>
          <w:lang w:val="en-US" w:eastAsia="zh-CN"/>
        </w:rPr>
        <w:t>报  告</w:t>
      </w:r>
    </w:p>
    <w:bookmarkEnd w:id="1"/>
    <w:p>
      <w:pPr>
        <w:pStyle w:val="2"/>
        <w:rPr>
          <w:rFonts w:hint="default"/>
          <w:lang w:val="en-US" w:eastAsia="zh-CN"/>
        </w:rPr>
      </w:pP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（一）部门（单位）基本情况</w:t>
      </w:r>
      <w:r>
        <w:rPr>
          <w:rFonts w:hint="default" w:ascii="Times New Roman" w:hAnsi="Times New Roman" w:eastAsia="楷体_GB2312" w:cs="Times New Roman"/>
          <w:b/>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1、芙蓉区工信局2021年末在职人员11人，其中在职在编的9人，政府雇员2人。我局为区人民政府工作部门。我局为财政预算全额拨款单位，二级机构为芙蓉区企业服务中心，财务核算适用政府会计制度。</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2、根据编办核定，工信局单位包括本级、内设科室4个、所属事业单位1个。</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3、职能职责：</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（1）负责全区工业经济的日常运行调度，组织制订年度工业经济运行调控目标；监测分析工业经济运行态势，协调解决经济运行中的突出矛盾和问题并提出政策建议。</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（2）拟订全区新型工业化的发展战略、规划和相关政策措施；对全区工业企业进行宏观管理和服务；推进信息化和工业化融合；推进全区国民经济和社会信息化。</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（3）引导全区企业积极开展技术创新和技术改造工作；负责辖区工业企业技术创新和技术改造项目的协调服务，指导全区工业企业开展对外经济、技术和贸易的交流合作。</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（4）贯彻落实中小企业法等法律法规，促进全区非公有制经济和中小企业发展；协调减轻企业负担工作； 推进中小企业服务体系建设，推进创业创新工作。</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（5）推进工业行业管理升级和管理创新，提高行业综合素质和核心竞争力，指导相关行业加强安全生产管理和行业质量管理工作。</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（6）归口管理全区企业的体制改革，会同有关部门做好维护企业稳定工作。</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（7）组织实施工业能源节约和资源综合利用工作；承担工业企业的节能考核和监察工作；组织推进清洁生产工作；推进两型企业示范建设。　</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（8）实施国家信息化发展战略及相关政策，促进电信、广播电视和计算机网络融合；推动跨行业、跨部门的互联互通和重要信息资源的开发利用、共享；推进全区信息化建设。</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（9）根据省市统一规划，协调全区公用通信网、互联网、广播电视网和其他专用通信网的规划和建设，促进网络资源共享。</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（10）指导全区工业、信息化领域人才开发与培训工作；开展人才和智力对外合作交流。</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（11）负责协调开展无线电管理工作，负责管理无线电监测、检测、干扰查处，协调处理电磁干扰事宜，维护空中电波秩序，依法组织实施无线电管理。</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（12）承办区委、区人民政府和上级主管部门交办的其他事项。</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default"/>
          <w:lang w:eastAsia="zh-CN"/>
        </w:rPr>
      </w:pPr>
      <w:r>
        <w:rPr>
          <w:rFonts w:hint="eastAsia" w:ascii="Times New Roman" w:hAnsi="Times New Roman" w:eastAsia="仿宋_GB2312" w:cs="Times New Roman"/>
          <w:color w:val="auto"/>
          <w:kern w:val="2"/>
          <w:sz w:val="32"/>
          <w:szCs w:val="32"/>
          <w:lang w:val="en-US" w:eastAsia="zh-CN" w:bidi="ar-SA"/>
        </w:rPr>
        <w:t>4、重点工作计划：（1）深入开展“我为群众办实事”工作；（2）加快工业经济转型发展；（3）大力发展软件产业；（4）加快推进5G建设；（5）全力推进电网建设；（6）提效提质服务企业。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w:t>
      </w:r>
      <w:r>
        <w:rPr>
          <w:rFonts w:hint="default" w:ascii="Times New Roman" w:hAnsi="Times New Roman" w:eastAsia="楷体_GB2312" w:cs="Times New Roman"/>
          <w:b/>
          <w:sz w:val="32"/>
          <w:szCs w:val="32"/>
          <w:lang w:eastAsia="zh-CN"/>
        </w:rPr>
        <w:t>整体支出规模、使用方向和主要内容、涉及范围等。</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auto"/>
          <w:kern w:val="2"/>
          <w:sz w:val="32"/>
          <w:szCs w:val="32"/>
          <w:lang w:val="en-US" w:eastAsia="zh-CN" w:bidi="ar-SA"/>
        </w:rPr>
        <w:t>2021年区财政局年初批复我局部门预算总收入517.29万元，其中：财政拨款517.29万元。预算总支出517.29万元，其中：基本支出459.29万元，是为保障我单位机构运转、完成日常工作任务而发生的各项支出，包括用于在职和离休人员基本工资、津贴补贴等人员经费以及办公费、印刷费、水电费、办公设备购置费等日常公用经费。项目支出58万元，是指我单位为完成特定行政工作任务或工业信息化及安全生产而发生的支出，包括工业信息化及安全生产工作经费、软件产业发展工作领导小组专项经费、中小企业服务中心运营费、电力设施630攻坚办公经费款项。</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1、基本支出主要包括，人员工资福利支出、商品和服务支出、对个人和家庭的补助、资本性支出等。</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本年部门决算总收入4034.12万元，其中：财政拨款收入3844.34万元，国有资本经营收入119.81万元，其他收入69.97万元。本年部门决算总支出7044.85万元，其中：基本支出440.76万元，项目支出6604.09。</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2、三公经费使用情况</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color w:val="auto"/>
          <w:kern w:val="2"/>
          <w:sz w:val="32"/>
          <w:szCs w:val="32"/>
          <w:lang w:val="en-US" w:eastAsia="zh-CN" w:bidi="ar-SA"/>
        </w:rPr>
        <w:t>我局认真贯彻落实中央八项规定、六项禁令、执行作风建设相关规定，厉行节约，“三公”经费逐年下降，2021年的三公经费均控制在预算范围内，其中:因公出国出境费用本年度未发生经费支出，公务接待费发生数为0万元，公车运行维护费本年度未发生经费支出0万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项目支出主要包括:工业信息化及安全生产工作经费、专改公建设经费、中小企业服务中心运营费、电力设施630攻坚办公经费及上级对企业拨付专项资金等。</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项目支出6294.51万元，包括一般商品和服务支出53.6万元，资本性支出754.28万元，对企业补助5424.63万元，其他项目支出的62万元。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before="227" w:line="500" w:lineRule="exact"/>
        <w:ind w:right="28" w:firstLine="635"/>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本单位严格遵照相关支付制度、经费管理办法来管理和使用财政资金，政府采购项目按照政府采购管理办法组织实施。对已具备验收条件的项目，及时组织验收、移交使用。同时加强对资金的监督管理，采取事前、事中、事后相结合、日常监督和专项监督相结合的方式，对资金使用行为实施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（一）强化资产管理制度建设。</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单位资产实行统一管理、分级负责制。单位负责人是资产管理的第一责任人；办公室设立资产专管员，负责资产管理，包括资产的采购、验收、资产卡片登记、维修保养及处置等日常管理。</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（二）理顺运行机制和管理方式。</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纳入政府采购范围的资产，依法履行政府采购规定程序，对购入的固定资产要进行验收，填写固定资产验收单，明确使用科室和使用人；专管员登记固定资产账卡，及时告知会计进行账务处理；定期对固定资产进行账实核对，做到账账相符、账物相符、账卡相符；资产处置由使用人报办公室，再经分管财务领导审批后核销，需经单位领导班子集体研究决定的，按照规定权限审核批准。</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（三）做好资产管理信息化建设。</w:t>
      </w:r>
    </w:p>
    <w:p>
      <w:pPr>
        <w:pStyle w:val="4"/>
        <w:keepNext w:val="0"/>
        <w:keepLines w:val="0"/>
        <w:pageBreakBefore w:val="0"/>
        <w:widowControl/>
        <w:suppressLineNumbers w:val="0"/>
        <w:kinsoku/>
        <w:wordWrap/>
        <w:overflowPunct/>
        <w:topLinePunct w:val="0"/>
        <w:autoSpaceDE/>
        <w:autoSpaceDN/>
        <w:bidi w:val="0"/>
        <w:adjustRightInd/>
        <w:snapToGrid/>
        <w:spacing w:before="226" w:beforeAutospacing="0" w:after="226" w:afterAutospacing="0" w:line="500" w:lineRule="exact"/>
        <w:ind w:left="0" w:right="0" w:firstLine="640" w:firstLineChars="200"/>
        <w:jc w:val="left"/>
        <w:textAlignment w:val="center"/>
        <w:outlineLvl w:val="9"/>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通过“湖南省行政事业资产动态管理信息系统”工具加强对资产的监控，建立健全资产账卡，完善资产管理信息，对实物资产实行“一物一卡一条码”，把单位的资产管理与财务管理、资产的价值管理和实物管理结合起来，及时反映单位的资产存量和变量情况，实现由静态管理向动态管理的转变。</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政府性基金预算支出情况</w:t>
      </w:r>
    </w:p>
    <w:p>
      <w:pPr>
        <w:pStyle w:val="9"/>
        <w:ind w:firstLine="640" w:firstLineChars="200"/>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sz w:val="32"/>
          <w:szCs w:val="32"/>
          <w:lang w:val="en-US" w:eastAsia="zh-CN"/>
        </w:rPr>
        <w:t>2021年度</w:t>
      </w:r>
      <w:r>
        <w:rPr>
          <w:rFonts w:hint="eastAsia" w:ascii="Times New Roman" w:hAnsi="Times New Roman" w:eastAsia="仿宋_GB2312" w:cs="Times New Roman"/>
          <w:color w:val="000000"/>
          <w:kern w:val="2"/>
          <w:sz w:val="32"/>
          <w:szCs w:val="32"/>
          <w:lang w:val="en-US" w:eastAsia="zh-CN" w:bidi="ar-SA"/>
        </w:rPr>
        <w:t>本单位无政府性基金收支。</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六</w:t>
      </w:r>
      <w:r>
        <w:rPr>
          <w:rFonts w:hint="default" w:ascii="Times New Roman" w:hAnsi="Times New Roman" w:eastAsia="黑体" w:cs="Times New Roman"/>
          <w:sz w:val="32"/>
          <w:szCs w:val="32"/>
        </w:rPr>
        <w:t>、国有资本经营预算支出情况</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2021年度国有资本经营预算财政拨款支出239.62万元。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、部门整体支出绩效情况</w:t>
      </w:r>
    </w:p>
    <w:p>
      <w:pPr>
        <w:pStyle w:val="8"/>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根据预算绩效管理要求，对部门2021年部门整体支出绩效开展了自评，绩效自评结果显示，区工信局2021年度绩效目标完成较好，自评价为＂良好＂。2021年，</w:t>
      </w:r>
      <w:r>
        <w:rPr>
          <w:rFonts w:hint="eastAsia" w:ascii="Times New Roman" w:hAnsi="Times New Roman" w:eastAsia="仿宋_GB2312" w:cs="Times New Roman"/>
          <w:kern w:val="2"/>
          <w:sz w:val="32"/>
          <w:szCs w:val="32"/>
          <w:lang w:val="en-US" w:eastAsia="zh-CN" w:bidi="ar-SA"/>
        </w:rPr>
        <w:t>在区委、区政府正确领导和精心指导下，芙蓉区工信局紧紧围绕高质量发展主题，全力推进工业和信息化各项工作，很好地完成了年度各项目标任务。</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加快工业经济转型发展。积极配合园区着力推动工业经济转型发展，推进智能制造，形成有影响力和竞争力的产业集群，新增韶光铬版、琴海数码、金天鹅、豆芽文化等一批“小巨人”企业。全区现有规模以上工业企业54家，预计全年规模以上工业增加值增长5%。坚持安全发展理念，对23家重点工业企业开展安全生产检查，现场纠正和建议修正安全隐患76处，完成隐患整改134处，全年工业企业未发生较大及以上安全生产事故。</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2、大力发展软件产业。2021年帮助80多家企业申报省移动互联网、市工发资金、市软件发展资金、市移动互联网资金项目，共计为 18家企业成功获得省市扶持资金928万元，区级扶持资金128万元，争取市对区软件产业聚集区发展启动资金332万元。全年28家规上企业营收18.00亿元，去年同期营收16.67亿元，增量13300万元，增速8.0%（预期数）。新增职新信息、荣辉网络、金控数据、恒成信息、敏求电子、博米汇信息、卡友信息、全程迅通等8家规上软件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加快推进5G建设。至2021年底，5G基础设施建设完成1557个，年度任务完成率101.63%。抓好日常工作，开展芙蓉区商务楼宇宽带接入市场整治工作，区工信局协同区住建局、各街道共同开展相关工作，集中解决上报问题32个；督促运营商开展“百日奋战 扮靓星城”工作，确保问题清零；</w:t>
      </w:r>
      <w:bookmarkStart w:id="0" w:name="_Hlk71617270"/>
      <w:r>
        <w:rPr>
          <w:rFonts w:hint="eastAsia" w:ascii="Times New Roman" w:hAnsi="Times New Roman" w:eastAsia="仿宋_GB2312" w:cs="Times New Roman"/>
          <w:kern w:val="2"/>
          <w:sz w:val="32"/>
          <w:szCs w:val="32"/>
          <w:lang w:val="en-US" w:eastAsia="zh-CN" w:bidi="ar-SA"/>
        </w:rPr>
        <w:t>开展芙蓉区通信问题优化</w:t>
      </w:r>
      <w:bookmarkEnd w:id="0"/>
      <w:r>
        <w:rPr>
          <w:rFonts w:hint="eastAsia" w:ascii="Times New Roman" w:hAnsi="Times New Roman" w:eastAsia="仿宋_GB2312" w:cs="Times New Roman"/>
          <w:kern w:val="2"/>
          <w:sz w:val="32"/>
          <w:szCs w:val="32"/>
          <w:lang w:val="en-US" w:eastAsia="zh-CN" w:bidi="ar-SA"/>
        </w:rPr>
        <w:t>整改工作，组织各运营商针对107个通信问题开展了现场测试，其中联通已整改100个，电信已整改96个，移动已整改46个；协调配合开展重大活动通讯保障相关工作，2021年“三考”保障，重点解决了长铁一中信号屏蔽问题；根据文明创建工作要求，开展通信线缆整改工作，共计整改了85个小区的线缆凌乱问题。</w:t>
      </w:r>
    </w:p>
    <w:p>
      <w:pPr>
        <w:pStyle w:val="8"/>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全力推进电网建设。2021年市政府下达我区电网“630攻坚”建设项目共22个，其中变电站项目5个、配套路由项目17个。全年考核进度目标共计66项，我局均已按序时进度完成。市电建办7月下发2021-2022电力“630攻坚”任务清单，我区新增6个配套路由项目已明确施工单位和资金来源，3个新增变电站选址控规征求意见已报市电建办。完成了竹园公寓等16个小区“专改公”工作。完成2021年“专改公”三湘大院等21个小区的计划申报工作。配合城北供电支公司做好迎峰度夏等电力保障工作，确保了全区用电形势平稳有序，民生用电得到充分保障。</w:t>
      </w:r>
    </w:p>
    <w:p>
      <w:pPr>
        <w:pStyle w:val="8"/>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提效提质服务企业。依</w:t>
      </w:r>
      <w:r>
        <w:rPr>
          <w:rFonts w:hint="eastAsia" w:ascii="Times New Roman" w:hAnsi="Times New Roman" w:eastAsia="仿宋_GB2312"/>
          <w:color w:val="000000" w:themeColor="text1"/>
          <w:sz w:val="32"/>
          <w:szCs w:val="32"/>
          <w14:textFill>
            <w14:solidFill>
              <w14:schemeClr w14:val="tx1"/>
            </w14:solidFill>
          </w14:textFill>
        </w:rPr>
        <w:t>托芙蓉中小微企业服务中心，举办了2021年“创客中国”芙蓉区中小微企业创新创业大赛决赛，</w:t>
      </w:r>
      <w:r>
        <w:rPr>
          <w:rFonts w:hint="eastAsia" w:ascii="Times New Roman" w:hAnsi="Times New Roman" w:eastAsia="仿宋_GB2312"/>
          <w:color w:val="000000" w:themeColor="text1"/>
          <w:sz w:val="32"/>
          <w:szCs w:val="32"/>
          <w:lang w:eastAsia="zh-CN"/>
          <w14:textFill>
            <w14:solidFill>
              <w14:schemeClr w14:val="tx1"/>
            </w14:solidFill>
          </w14:textFill>
        </w:rPr>
        <w:t>全区</w:t>
      </w:r>
      <w:r>
        <w:rPr>
          <w:rFonts w:hint="eastAsia" w:ascii="Times New Roman" w:hAnsi="Times New Roman" w:eastAsia="仿宋_GB2312"/>
          <w:color w:val="000000" w:themeColor="text1"/>
          <w:sz w:val="32"/>
          <w:szCs w:val="32"/>
          <w14:textFill>
            <w14:solidFill>
              <w14:schemeClr w14:val="tx1"/>
            </w14:solidFill>
          </w14:textFill>
        </w:rPr>
        <w:t>6家企业晋级市赛，2家企业晋级省赛；着力提升中小微企业服务质量，培育更多高水准的中小微企业服务主体</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实施</w:t>
      </w:r>
      <w:r>
        <w:rPr>
          <w:rFonts w:ascii="Times New Roman" w:hAnsi="Times New Roman" w:eastAsia="仿宋_GB2312"/>
          <w:color w:val="000000" w:themeColor="text1"/>
          <w:sz w:val="32"/>
          <w:szCs w:val="32"/>
          <w14:textFill>
            <w14:solidFill>
              <w14:schemeClr w14:val="tx1"/>
            </w14:solidFill>
          </w14:textFill>
        </w:rPr>
        <w:t>央企、省企职工家属区</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三供一业</w:t>
      </w:r>
      <w:r>
        <w:rPr>
          <w:rFonts w:hint="eastAsia" w:ascii="仿宋_GB2312"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改造项目3</w:t>
      </w:r>
      <w:r>
        <w:rPr>
          <w:rFonts w:hint="eastAsia" w:ascii="Times New Roman" w:hAnsi="Times New Roman" w:eastAsia="仿宋_GB2312"/>
          <w:color w:val="000000" w:themeColor="text1"/>
          <w:sz w:val="32"/>
          <w:szCs w:val="32"/>
          <w:lang w:val="en-US" w:eastAsia="zh-CN"/>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个</w:t>
      </w:r>
      <w:r>
        <w:rPr>
          <w:rFonts w:hint="eastAsia" w:ascii="Times New Roman" w:hAnsi="Times New Roman" w:eastAsia="仿宋_GB2312"/>
          <w:color w:val="000000" w:themeColor="text1"/>
          <w:sz w:val="32"/>
          <w:szCs w:val="32"/>
          <w14:textFill>
            <w14:solidFill>
              <w14:schemeClr w14:val="tx1"/>
            </w14:solidFill>
          </w14:textFill>
        </w:rPr>
        <w:t>，拨付改造资金633.13万元</w:t>
      </w:r>
      <w:r>
        <w:rPr>
          <w:rFonts w:ascii="Times New Roman" w:hAnsi="Times New Roman" w:eastAsia="仿宋_GB2312"/>
          <w:color w:val="000000" w:themeColor="text1"/>
          <w:sz w:val="32"/>
          <w:szCs w:val="32"/>
          <w14:textFill>
            <w14:solidFill>
              <w14:schemeClr w14:val="tx1"/>
            </w14:solidFill>
          </w14:textFill>
        </w:rPr>
        <w:t>。推进企业退休人员社会</w:t>
      </w:r>
      <w:r>
        <w:rPr>
          <w:rFonts w:hint="eastAsia" w:ascii="Times New Roman" w:hAnsi="Times New Roman" w:eastAsia="仿宋_GB2312"/>
          <w:color w:val="000000" w:themeColor="text1"/>
          <w:sz w:val="32"/>
          <w:szCs w:val="32"/>
          <w14:textFill>
            <w14:solidFill>
              <w14:schemeClr w14:val="tx1"/>
            </w14:solidFill>
          </w14:textFill>
        </w:rPr>
        <w:t>化</w:t>
      </w:r>
      <w:r>
        <w:rPr>
          <w:rFonts w:ascii="Times New Roman" w:hAnsi="Times New Roman" w:eastAsia="仿宋_GB2312"/>
          <w:color w:val="000000" w:themeColor="text1"/>
          <w:sz w:val="32"/>
          <w:szCs w:val="32"/>
          <w14:textFill>
            <w14:solidFill>
              <w14:schemeClr w14:val="tx1"/>
            </w14:solidFill>
          </w14:textFill>
        </w:rPr>
        <w:t>管理，移交企业</w:t>
      </w: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家</w:t>
      </w:r>
      <w:r>
        <w:rPr>
          <w:rFonts w:hint="eastAsia" w:ascii="Times New Roman" w:hAnsi="Times New Roman" w:eastAsia="仿宋_GB2312"/>
          <w:color w:val="000000" w:themeColor="text1"/>
          <w:sz w:val="32"/>
          <w:szCs w:val="32"/>
          <w14:textFill>
            <w14:solidFill>
              <w14:schemeClr w14:val="tx1"/>
            </w14:solidFill>
          </w14:textFill>
        </w:rPr>
        <w:t>（央企</w:t>
      </w:r>
      <w:r>
        <w:rPr>
          <w:rFonts w:hint="eastAsia" w:ascii="Times New Roman" w:hAnsi="Times New Roman" w:eastAsia="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家，省企</w:t>
      </w:r>
      <w:r>
        <w:rPr>
          <w:rFonts w:hint="eastAsia" w:ascii="Times New Roman" w:hAnsi="Times New Roman" w:eastAsia="仿宋_GB2312"/>
          <w:color w:val="000000" w:themeColor="text1"/>
          <w:sz w:val="32"/>
          <w:szCs w:val="32"/>
          <w:lang w:val="en-US" w:eastAsia="zh-CN"/>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家）</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涉及退休人员250人,退休党员30人。2021年，向上级申请补助资金327.236万元，拨付补助资金336.707万元。全区3个单位、6个社区和10名个人被长沙市企业改革和发展领导小组分别评国有企业退休人员社会化管理工作优秀单位、优秀社区和优秀个人。</w:t>
      </w:r>
    </w:p>
    <w:p>
      <w:pPr>
        <w:pStyle w:val="8"/>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rPr>
        <w:t>、存在的问题及原因分析</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绩效评价工作机制有待进一步完善，预算编制不够明确和细化，预算编制的合理性需要提高。预算执行力度还要进一步加强。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我局在编制部门年度预算时，</w:t>
      </w:r>
      <w:r>
        <w:rPr>
          <w:rFonts w:hint="eastAsia" w:ascii="Times New Roman" w:hAnsi="Times New Roman" w:eastAsia="仿宋_GB2312" w:cs="Times New Roman"/>
          <w:sz w:val="32"/>
          <w:szCs w:val="32"/>
          <w:lang w:val="en-US" w:eastAsia="zh-CN"/>
        </w:rPr>
        <w:t>基本上能</w:t>
      </w:r>
      <w:r>
        <w:rPr>
          <w:rFonts w:hint="eastAsia" w:ascii="Times New Roman" w:hAnsi="Times New Roman" w:eastAsia="仿宋_GB2312" w:cs="Times New Roman"/>
          <w:sz w:val="32"/>
          <w:szCs w:val="32"/>
        </w:rPr>
        <w:t>根据本单位职能职责和年度工作计划</w:t>
      </w:r>
      <w:r>
        <w:rPr>
          <w:rFonts w:hint="eastAsia" w:ascii="Times New Roman" w:hAnsi="Times New Roman" w:eastAsia="仿宋_GB2312" w:cs="Times New Roman"/>
          <w:sz w:val="32"/>
          <w:szCs w:val="32"/>
          <w:lang w:val="en-US" w:eastAsia="zh-CN"/>
        </w:rPr>
        <w:t>编报预算</w:t>
      </w:r>
      <w:r>
        <w:rPr>
          <w:rFonts w:hint="eastAsia" w:ascii="Times New Roman" w:hAnsi="Times New Roman" w:eastAsia="仿宋_GB2312" w:cs="Times New Roman"/>
          <w:sz w:val="32"/>
          <w:szCs w:val="32"/>
        </w:rPr>
        <w:t>，但在年</w:t>
      </w:r>
      <w:r>
        <w:rPr>
          <w:rFonts w:hint="eastAsia" w:ascii="Times New Roman" w:hAnsi="Times New Roman" w:eastAsia="仿宋_GB2312" w:cs="Times New Roman"/>
          <w:sz w:val="32"/>
          <w:szCs w:val="32"/>
          <w:lang w:val="en-US" w:eastAsia="zh-CN"/>
        </w:rPr>
        <w:t>度</w:t>
      </w:r>
      <w:r>
        <w:rPr>
          <w:rFonts w:hint="eastAsia" w:ascii="Times New Roman" w:hAnsi="Times New Roman" w:eastAsia="仿宋_GB2312" w:cs="Times New Roman"/>
          <w:sz w:val="32"/>
          <w:szCs w:val="32"/>
        </w:rPr>
        <w:t>部门预算执行过程中，仍然存在一些无法预计和列入年初预算的项目支出，</w:t>
      </w:r>
      <w:r>
        <w:rPr>
          <w:rFonts w:hint="eastAsia" w:ascii="Times New Roman" w:hAnsi="Times New Roman" w:eastAsia="仿宋_GB2312" w:cs="Times New Roman"/>
          <w:sz w:val="32"/>
          <w:szCs w:val="32"/>
          <w:lang w:val="en-US" w:eastAsia="zh-CN"/>
        </w:rPr>
        <w:t>特别是上级拨付的专项资金</w:t>
      </w:r>
      <w:r>
        <w:rPr>
          <w:rFonts w:hint="eastAsia"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下一步改进措施</w:t>
      </w:r>
    </w:p>
    <w:p>
      <w:pPr>
        <w:pStyle w:val="4"/>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225" w:beforeAutospacing="0" w:after="225" w:afterAutospacing="0" w:line="500" w:lineRule="exact"/>
        <w:ind w:left="0" w:right="0" w:firstLine="640" w:firstLineChars="200"/>
        <w:jc w:val="left"/>
        <w:textAlignment w:val="center"/>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(一)制定有效绩效监控机制，确保绩效目标完成</w:t>
      </w:r>
    </w:p>
    <w:p>
      <w:pPr>
        <w:pStyle w:val="4"/>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225" w:beforeAutospacing="0" w:after="225" w:afterAutospacing="0" w:line="500" w:lineRule="exact"/>
        <w:ind w:left="0" w:right="0" w:firstLine="640" w:firstLineChars="200"/>
        <w:jc w:val="left"/>
        <w:textAlignment w:val="center"/>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科学设置预算绩效指标，合理安排经费和各项资金，使其物尽其用，更加贴合我局财务工作的实际情况，能够合理运用现有资源，及时协调并向上级多争取资金，保证各预算绩效指标的顺利实施。</w:t>
      </w:r>
    </w:p>
    <w:p>
      <w:pPr>
        <w:pStyle w:val="4"/>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225" w:beforeAutospacing="0" w:after="225" w:afterAutospacing="0" w:line="500" w:lineRule="exact"/>
        <w:ind w:left="0" w:right="0" w:firstLine="640" w:firstLineChars="200"/>
        <w:jc w:val="left"/>
        <w:textAlignment w:val="center"/>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(二)科学合理编制预算，严格执行预算</w:t>
      </w:r>
    </w:p>
    <w:p>
      <w:pPr>
        <w:pStyle w:val="4"/>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225" w:beforeAutospacing="0" w:after="225" w:afterAutospacing="0" w:line="500" w:lineRule="exact"/>
        <w:ind w:left="0" w:right="0" w:firstLine="640" w:firstLineChars="200"/>
        <w:jc w:val="left"/>
        <w:textAlignment w:val="center"/>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细化预算编制工作。严格按照预算编制的相关制度和要求，编制范围尽可能地全面，不漏项。进一步提高预算编制的科学性、合理性、严谨性和可控性。</w:t>
      </w:r>
    </w:p>
    <w:p>
      <w:pPr>
        <w:pStyle w:val="4"/>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225" w:beforeAutospacing="0" w:after="225" w:afterAutospacing="0" w:line="500" w:lineRule="exact"/>
        <w:ind w:left="0" w:right="0" w:firstLine="640" w:firstLineChars="200"/>
        <w:jc w:val="left"/>
        <w:textAlignment w:val="center"/>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(三)加强管理，完善内部控制支出</w:t>
      </w:r>
    </w:p>
    <w:p>
      <w:pPr>
        <w:pStyle w:val="4"/>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225" w:beforeAutospacing="0" w:after="225" w:afterAutospacing="0" w:line="500" w:lineRule="exact"/>
        <w:ind w:left="0" w:right="0" w:firstLine="640" w:firstLineChars="200"/>
        <w:jc w:val="left"/>
        <w:textAlignment w:val="center"/>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建立和完善内部控制建设，形成系统的内部财务管理制度。加强对专项资金的管理，按工作要求加快专项资金下达及使用进度，切实发挥资金效益。</w:t>
      </w:r>
    </w:p>
    <w:p>
      <w:pPr>
        <w:pStyle w:val="4"/>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225" w:beforeAutospacing="0" w:after="225" w:afterAutospacing="0" w:line="500" w:lineRule="exact"/>
        <w:ind w:left="0" w:right="0" w:firstLine="640" w:firstLineChars="200"/>
        <w:jc w:val="left"/>
        <w:textAlignment w:val="center"/>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(四)强化学习培训，提高思想认识</w:t>
      </w:r>
    </w:p>
    <w:p>
      <w:pPr>
        <w:pStyle w:val="4"/>
        <w:keepNext w:val="0"/>
        <w:keepLines w:val="0"/>
        <w:pageBreakBefore w:val="0"/>
        <w:widowControl/>
        <w:suppressLineNumbers w:val="0"/>
        <w:pBdr>
          <w:top w:val="none" w:color="333333" w:sz="0" w:space="0"/>
          <w:left w:val="none" w:color="333333" w:sz="0" w:space="0"/>
          <w:bottom w:val="none" w:color="333333" w:sz="0" w:space="0"/>
          <w:right w:val="none" w:color="333333" w:sz="0" w:space="0"/>
        </w:pBdr>
        <w:kinsoku/>
        <w:wordWrap/>
        <w:overflowPunct/>
        <w:topLinePunct w:val="0"/>
        <w:autoSpaceDE/>
        <w:autoSpaceDN/>
        <w:bidi w:val="0"/>
        <w:adjustRightInd/>
        <w:snapToGrid/>
        <w:spacing w:before="225" w:beforeAutospacing="0" w:after="225" w:afterAutospacing="0" w:line="500" w:lineRule="exact"/>
        <w:ind w:left="0" w:right="0" w:firstLine="640" w:firstLineChars="200"/>
        <w:jc w:val="left"/>
        <w:textAlignment w:val="center"/>
        <w:outlineLvl w:val="9"/>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加强新《预算法》、《政府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w:t>
      </w:r>
      <w:r>
        <w:rPr>
          <w:rFonts w:hint="default" w:ascii="Times New Roman" w:hAnsi="Times New Roman" w:eastAsia="黑体" w:cs="Times New Roman"/>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default" w:ascii="Times New Roman" w:hAnsi="Times New Roman" w:eastAsia="黑体" w:cs="Times New Roman"/>
          <w:sz w:val="32"/>
          <w:szCs w:val="32"/>
        </w:rPr>
        <w:t>其他需要说明的情况</w:t>
      </w:r>
      <w:r>
        <w:rPr>
          <w:rFonts w:hint="default" w:ascii="Times New Roman" w:hAnsi="Times New Roman" w:eastAsia="黑体" w:cs="Times New Roman"/>
          <w:kern w:val="0"/>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w="6350">
                        <a:noFill/>
                      </a:ln>
                    </wps:spPr>
                    <wps:txbx>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59264;mso-width-relative:page;mso-height-relative:page;" filled="f" stroked="f" coordsize="21600,21600" o:gfxdata="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20kGXSAAAAAwEAAA8AAAAAAAAAAQAgAAAAIgAA&#10;AGRycy9kb3ducmV2LnhtbFBLAQIUABQAAAAIAIdO4kCREWRR1QEAAKADAAAOAAAAAAAAAAEAIAAA&#10;ACEBAABkcnMvZTJvRG9jLnhtbFBLBQYAAAAABgAGAFkBAABoBQAAAAA=&#10;">
              <v:fill on="f" focussize="0,0"/>
              <v:stroke on="f" weight="0.5pt"/>
              <v:imagedata o:title=""/>
              <o:lock v:ext="edit" aspectratio="f"/>
              <v:textbox inset="0mm,0mm,0mm,0mm" style="mso-fit-shape-to-text:t;">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F89FA"/>
    <w:multiLevelType w:val="singleLevel"/>
    <w:tmpl w:val="C8CF89FA"/>
    <w:lvl w:ilvl="0" w:tentative="0">
      <w:start w:val="5"/>
      <w:numFmt w:val="chineseCounting"/>
      <w:suff w:val="nothing"/>
      <w:lvlText w:val="%1、"/>
      <w:lvlJc w:val="left"/>
      <w:rPr>
        <w:rFonts w:hint="eastAsia"/>
      </w:rPr>
    </w:lvl>
  </w:abstractNum>
  <w:abstractNum w:abstractNumId="1">
    <w:nsid w:val="759BF87F"/>
    <w:multiLevelType w:val="singleLevel"/>
    <w:tmpl w:val="759BF87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M2FhZDFjYTM0NmIyNDUzMDE2OTYyMWIyM2MyYjMifQ=="/>
  </w:docVars>
  <w:rsids>
    <w:rsidRoot w:val="27D33C8A"/>
    <w:rsid w:val="00054E1E"/>
    <w:rsid w:val="003357D8"/>
    <w:rsid w:val="069D7E4F"/>
    <w:rsid w:val="08D57433"/>
    <w:rsid w:val="10C34956"/>
    <w:rsid w:val="18583BD5"/>
    <w:rsid w:val="18E13BCB"/>
    <w:rsid w:val="22091C05"/>
    <w:rsid w:val="255816B9"/>
    <w:rsid w:val="27D33C8A"/>
    <w:rsid w:val="2A764298"/>
    <w:rsid w:val="2B1B6A14"/>
    <w:rsid w:val="2CEF46B1"/>
    <w:rsid w:val="2F697F69"/>
    <w:rsid w:val="32AB72CC"/>
    <w:rsid w:val="33F47BCF"/>
    <w:rsid w:val="35344914"/>
    <w:rsid w:val="367A1A87"/>
    <w:rsid w:val="39E9692C"/>
    <w:rsid w:val="3F5F2893"/>
    <w:rsid w:val="40986597"/>
    <w:rsid w:val="46D26F40"/>
    <w:rsid w:val="4BDF36EB"/>
    <w:rsid w:val="5414386D"/>
    <w:rsid w:val="54895743"/>
    <w:rsid w:val="58B55EFF"/>
    <w:rsid w:val="5D170F36"/>
    <w:rsid w:val="5DEB0883"/>
    <w:rsid w:val="639E0DE5"/>
    <w:rsid w:val="675B1706"/>
    <w:rsid w:val="69967687"/>
    <w:rsid w:val="6ADE5CFB"/>
    <w:rsid w:val="742B1EC4"/>
    <w:rsid w:val="765B5EE0"/>
    <w:rsid w:val="76C522FD"/>
    <w:rsid w:val="7F0B7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pPr>
    <w:rPr>
      <w:rFonts w:ascii="微软雅黑" w:hAnsi="微软雅黑" w:eastAsia="微软雅黑" w:cs="微软雅黑"/>
      <w:color w:val="333333"/>
      <w:kern w:val="0"/>
      <w:sz w:val="24"/>
      <w:szCs w:val="24"/>
      <w:lang w:val="en-US" w:eastAsia="zh-CN" w:bidi="ar"/>
    </w:rPr>
  </w:style>
  <w:style w:type="character" w:customStyle="1" w:styleId="7">
    <w:name w:val="font112"/>
    <w:basedOn w:val="6"/>
    <w:qFormat/>
    <w:uiPriority w:val="0"/>
    <w:rPr>
      <w:rFonts w:hint="eastAsia" w:ascii="宋体" w:hAnsi="宋体" w:eastAsia="宋体" w:cs="宋体"/>
      <w:b/>
      <w:bCs/>
      <w:color w:val="000000"/>
      <w:sz w:val="32"/>
      <w:szCs w:val="32"/>
      <w:u w:val="none"/>
    </w:rPr>
  </w:style>
  <w:style w:type="paragraph" w:styleId="8">
    <w:name w:val="List Paragraph"/>
    <w:basedOn w:val="1"/>
    <w:qFormat/>
    <w:uiPriority w:val="99"/>
    <w:pPr>
      <w:ind w:firstLine="420" w:firstLineChars="200"/>
    </w:pPr>
    <w:rPr>
      <w:rFonts w:ascii="Calibri" w:hAnsi="Calibri" w:eastAsia="宋体" w:cs="Times New Roman"/>
      <w:szCs w:val="22"/>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4231</Words>
  <Characters>4461</Characters>
  <Lines>0</Lines>
  <Paragraphs>0</Paragraphs>
  <TotalTime>19</TotalTime>
  <ScaleCrop>false</ScaleCrop>
  <LinksUpToDate>false</LinksUpToDate>
  <CharactersWithSpaces>4471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2022-09-29T07:59:00Z</dcterms:created>
  <dc:creator>李婧</dc:creator>
  <cp:lastModifiedBy>龙欢</cp:lastModifiedBy>
  <cp:lastPrinted>2023-08-31T06:05:22Z</cp:lastPrinted>
  <dcterms:modified xsi:type="dcterms:W3CDTF">2023-08-31T06:18:35Z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3AA11B521EFF4008907449E56BD75DEA</vt:lpwstr>
  </property>
</Properties>
</file>