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word/document.xml" Type="http://schemas.openxmlformats.org/officeDocument/2006/relationships/officeDocument" Id="rId4"/>
    <Relationship Target="docProps/core.xml" Type="http://schemas.openxmlformats.org/package/2006/relationships/metadata/core-properties" Id="rId2"/>
    <Relationship Target="docProps/app.xml" Type="http://schemas.openxmlformats.org/officeDocument/2006/relationships/extended-properties" Id="rId1"/>
    <Relationship Target="docProps/custom.xml" Type="http://schemas.openxmlformats.org/officeDocument/2006/relationships/custom-properties" Id="rId3"/>
</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w:p>
      <w:pPr>
        <w:pStyle w:val="6"/>
        <w:jc w:val="both"/>
        <w:rPr>
          <w:sz w:val="84"/>
          <w:szCs w:val="84"/>
        </w:rPr>
      </w:pPr>
    </w:p>
    <w:p>
      <w:pPr>
        <w:pStyle w:val="6"/>
        <w:jc w:val="both"/>
        <w:rPr>
          <w:sz w:val="84"/>
          <w:szCs w:val="84"/>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2022</w:t>
      </w:r>
      <w:r>
        <w:rPr>
          <w:rFonts w:hint="eastAsia" w:ascii="方正小标宋_GBK" w:hAnsi="方正小标宋_GBK" w:eastAsia="方正小标宋_GBK" w:cs="方正小标宋_GBK"/>
          <w:sz w:val="84"/>
          <w:szCs w:val="84"/>
        </w:rPr>
        <w:t>年度</w:t>
      </w:r>
    </w:p>
    <w:p>
      <w:pPr>
        <w:pStyle w:val="6"/>
        <w:jc w:val="center"/>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lang w:val="en-US" w:eastAsia="zh-CN"/>
        </w:rPr>
        <w:t>长沙市芙蓉区动物疫病预防控制中心</w:t>
      </w: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部门（单位）</w:t>
      </w:r>
      <w:r>
        <w:rPr>
          <w:rFonts w:hint="eastAsia" w:ascii="方正小标宋_GBK" w:hAnsi="方正小标宋_GBK" w:eastAsia="方正小标宋_GBK" w:cs="方正小标宋_GBK"/>
          <w:sz w:val="84"/>
          <w:szCs w:val="84"/>
        </w:rPr>
        <w:t>部门决算</w:t>
      </w: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56"/>
          <w:szCs w:val="56"/>
        </w:rPr>
      </w:pPr>
    </w:p>
    <w:p>
      <w:pPr>
        <w:pStyle w:val="6"/>
        <w:jc w:val="center"/>
        <w:rPr>
          <w:sz w:val="32"/>
          <w:szCs w:val="32"/>
        </w:rPr>
      </w:pPr>
    </w:p>
    <w:p>
      <w:pPr>
        <w:pStyle w:val="6"/>
        <w:jc w:val="center"/>
        <w:rPr>
          <w:sz w:val="32"/>
          <w:szCs w:val="32"/>
        </w:rPr>
      </w:pPr>
    </w:p>
    <w:p>
      <w:pPr>
        <w:pStyle w:val="6"/>
        <w:spacing w:line="540" w:lineRule="exact"/>
        <w:jc w:val="both"/>
        <w:rPr>
          <w:sz w:val="56"/>
          <w:szCs w:val="56"/>
        </w:rPr>
      </w:pPr>
    </w:p>
    <w:p>
      <w:pPr>
        <w:pStyle w:val="6"/>
        <w:spacing w:line="500" w:lineRule="exact"/>
        <w:jc w:val="center"/>
        <w:rPr>
          <w:b/>
          <w:sz w:val="36"/>
          <w:szCs w:val="28"/>
        </w:rPr>
      </w:pPr>
    </w:p>
    <w:p>
      <w:pPr>
        <w:pStyle w:val="6"/>
        <w:spacing w:line="500" w:lineRule="exact"/>
        <w:jc w:val="center"/>
        <w:rPr>
          <w:b/>
          <w:sz w:val="36"/>
          <w:szCs w:val="28"/>
        </w:rPr>
      </w:pPr>
      <w:r>
        <w:rPr>
          <w:b/>
          <w:sz w:val="36"/>
          <w:szCs w:val="28"/>
        </w:rPr>
        <w:br w:type="page"/>
      </w:r>
      <w:r>
        <w:rPr>
          <w:rFonts w:hint="eastAsia"/>
          <w:b/>
          <w:sz w:val="36"/>
          <w:szCs w:val="28"/>
        </w:rPr>
        <w:t>目</w:t>
      </w:r>
      <w:r>
        <w:rPr>
          <w:rFonts w:hint="eastAsia"/>
          <w:b/>
          <w:sz w:val="36"/>
          <w:szCs w:val="28"/>
          <w:lang w:val="en-US" w:eastAsia="zh-CN"/>
        </w:rPr>
        <w:t xml:space="preserve">  </w:t>
      </w:r>
      <w:r>
        <w:rPr>
          <w:rFonts w:hint="eastAsia"/>
          <w:b/>
          <w:sz w:val="36"/>
          <w:szCs w:val="28"/>
        </w:rPr>
        <w:t>录</w:t>
      </w:r>
    </w:p>
    <w:p>
      <w:pPr>
        <w:pStyle w:val="6"/>
        <w:spacing w:line="500" w:lineRule="exact"/>
        <w:outlineLvl w:val="0"/>
        <w:rPr>
          <w:rFonts w:ascii="仿宋_GB2312" w:hAnsi="仿宋_GB2312" w:cs="仿宋_GB2312"/>
          <w:b/>
          <w:sz w:val="28"/>
          <w:szCs w:val="28"/>
        </w:rPr>
      </w:pPr>
      <w:r>
        <w:rPr>
          <w:rFonts w:hint="eastAsia"/>
          <w:b w:val="false"/>
          <w:bCs/>
          <w:sz w:val="28"/>
          <w:szCs w:val="28"/>
        </w:rPr>
        <w:t>第一部分</w:t>
      </w:r>
      <w:r>
        <w:rPr>
          <w:rFonts w:hint="eastAsia"/>
          <w:b w:val="false"/>
          <w:bCs/>
          <w:sz w:val="28"/>
          <w:szCs w:val="28"/>
          <w:lang w:val="en-US" w:eastAsia="zh-CN"/>
        </w:rPr>
        <w:t xml:space="preserve"> 长沙市芙蓉区动物疫病预防控制中心部门（单位）</w:t>
      </w:r>
      <w:r>
        <w:rPr>
          <w:rFonts w:hint="eastAsia"/>
          <w:b w:val="false"/>
          <w:bCs/>
          <w:sz w:val="28"/>
          <w:szCs w:val="28"/>
        </w:rPr>
        <w:t>概况</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cs="仿宋_GB2312" w:asciiTheme="minorEastAsia" w:hAnsiTheme="minorEastAsia" w:eastAsiaTheme="minorEastAsia"/>
          <w:sz w:val="28"/>
          <w:szCs w:val="28"/>
        </w:rPr>
      </w:pPr>
      <w:r>
        <w:rPr>
          <w:rFonts w:hint="eastAsia" w:ascii="仿宋_GB2312" w:hAnsi="仿宋_GB2312" w:eastAsia="仿宋_GB2312" w:cs="仿宋_GB2312"/>
          <w:sz w:val="28"/>
          <w:szCs w:val="28"/>
        </w:rPr>
        <w:t>二、机构设置</w:t>
      </w:r>
    </w:p>
    <w:p>
      <w:pPr>
        <w:pStyle w:val="6"/>
        <w:spacing w:line="500" w:lineRule="exact"/>
        <w:outlineLvl w:val="0"/>
        <w:rPr>
          <w:rFonts w:ascii="仿宋_GB2312" w:hAnsi="仿宋_GB2312" w:cs="仿宋_GB2312"/>
          <w:b/>
          <w:sz w:val="28"/>
          <w:szCs w:val="28"/>
        </w:rPr>
      </w:pPr>
      <w:r>
        <w:rPr>
          <w:rFonts w:hint="eastAsia" w:hAnsi="仿宋_GB2312"/>
          <w:b w:val="false"/>
          <w:bCs/>
          <w:sz w:val="28"/>
          <w:szCs w:val="28"/>
        </w:rPr>
        <w:t>第二部分</w:t>
      </w:r>
      <w:r>
        <w:rPr>
          <w:rFonts w:hint="eastAsia" w:hAnsi="仿宋_GB2312"/>
          <w:b w:val="false"/>
          <w:bCs/>
          <w:sz w:val="28"/>
          <w:szCs w:val="28"/>
          <w:lang w:val="en-US" w:eastAsia="zh-CN"/>
        </w:rPr>
        <w:t xml:space="preserve"> </w:t>
      </w:r>
      <w:r>
        <w:rPr>
          <w:rFonts w:hint="eastAsia" w:hAnsi="仿宋_GB2312"/>
          <w:b w:val="false"/>
          <w:bCs/>
          <w:sz w:val="28"/>
          <w:szCs w:val="28"/>
        </w:rPr>
        <w:t>部门决算表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w:t>
      </w:r>
      <w:r>
        <w:rPr>
          <w:rFonts w:hint="eastAsia" w:ascii="仿宋_GB2312" w:hAnsi="仿宋_GB2312" w:eastAsia="仿宋_GB2312" w:cs="仿宋_GB2312"/>
          <w:sz w:val="28"/>
          <w:szCs w:val="28"/>
          <w:lang w:val="en-US" w:eastAsia="zh-CN"/>
        </w:rPr>
        <w:t>明细</w:t>
      </w:r>
      <w:r>
        <w:rPr>
          <w:rFonts w:hint="eastAsia" w:ascii="仿宋_GB2312" w:hAnsi="仿宋_GB2312" w:eastAsia="仿宋_GB2312" w:cs="仿宋_GB2312"/>
          <w:sz w:val="28"/>
          <w:szCs w:val="28"/>
        </w:rPr>
        <w:t>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textAlignment w:val="auto"/>
        <w:rPr>
          <w:rFonts w:cs="仿宋_GB2312" w:asciiTheme="minorEastAsia" w:hAnsiTheme="minorEastAsia" w:eastAsiaTheme="minorEastAsia"/>
          <w:sz w:val="28"/>
          <w:szCs w:val="28"/>
        </w:rPr>
      </w:pPr>
      <w:r>
        <w:rPr>
          <w:rFonts w:hint="eastAsia" w:ascii="仿宋_GB2312" w:hAnsi="仿宋_GB2312" w:eastAsia="仿宋_GB2312" w:cs="仿宋_GB2312"/>
          <w:sz w:val="28"/>
          <w:szCs w:val="28"/>
        </w:rPr>
        <w:t>九、财政拨款“三公”经费支出决算表</w:t>
      </w:r>
    </w:p>
    <w:p>
      <w:pPr>
        <w:pStyle w:val="6"/>
        <w:spacing w:line="500" w:lineRule="exact"/>
        <w:outlineLvl w:val="0"/>
        <w:rPr>
          <w:rFonts w:ascii="仿宋_GB2312" w:hAnsi="仿宋_GB2312" w:cs="仿宋_GB2312"/>
          <w:b/>
          <w:sz w:val="28"/>
          <w:szCs w:val="28"/>
        </w:rPr>
      </w:pPr>
      <w:r>
        <w:rPr>
          <w:rFonts w:hint="eastAsia" w:hAnsi="仿宋_GB2312"/>
          <w:b w:val="false"/>
          <w:bCs/>
          <w:sz w:val="28"/>
          <w:szCs w:val="28"/>
        </w:rPr>
        <w:t>第三部分</w:t>
      </w:r>
      <w:r>
        <w:rPr>
          <w:rFonts w:hint="eastAsia" w:hAnsi="仿宋_GB2312"/>
          <w:b w:val="false"/>
          <w:bCs/>
          <w:sz w:val="28"/>
          <w:szCs w:val="28"/>
          <w:lang w:val="en-US" w:eastAsia="zh-CN"/>
        </w:rPr>
        <w:t xml:space="preserve"> </w:t>
      </w:r>
      <w:r>
        <w:rPr>
          <w:rFonts w:hint="eastAsia" w:hAnsi="仿宋_GB2312"/>
          <w:b w:val="false"/>
          <w:bCs/>
          <w:sz w:val="28"/>
          <w:szCs w:val="28"/>
        </w:rPr>
        <w:t>部门决算情况说明</w:t>
      </w:r>
    </w:p>
    <w:p>
      <w:pPr>
        <w:pStyle w:val="6"/>
        <w:keepNext w:val="false"/>
        <w:keepLines w:val="false"/>
        <w:pageBreakBefore w:val="false"/>
        <w:widowControl w:val="false"/>
        <w:kinsoku/>
        <w:wordWrap/>
        <w:overflowPunct/>
        <w:topLinePunct w:val="false"/>
        <w:bidi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keepNext w:val="false"/>
        <w:keepLines w:val="false"/>
        <w:pageBreakBefore w:val="false"/>
        <w:widowControl w:val="false"/>
        <w:kinsoku/>
        <w:wordWrap/>
        <w:overflowPunct/>
        <w:topLinePunct w:val="false"/>
        <w:bidi w:val="false"/>
        <w:snapToGrid/>
        <w:spacing w:line="460" w:lineRule="exact"/>
        <w:ind w:firstLine="700" w:firstLineChars="2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w:t>
      </w:r>
      <w:r>
        <w:rPr>
          <w:rFonts w:hint="eastAsia" w:ascii="仿宋_GB2312" w:hAnsi="仿宋_GB2312" w:eastAsia="仿宋_GB2312" w:cs="仿宋_GB2312"/>
          <w:sz w:val="28"/>
          <w:szCs w:val="28"/>
        </w:rPr>
        <w:t>三公</w:t>
      </w:r>
      <w:r>
        <w:rPr>
          <w:rFonts w:hint="eastAsia" w:ascii="仿宋_GB2312" w:hAnsi="仿宋_GB2312" w:eastAsia="仿宋_GB2312" w:cs="仿宋_GB2312"/>
          <w:color w:val="000000"/>
          <w:kern w:val="0"/>
          <w:sz w:val="28"/>
          <w:szCs w:val="28"/>
        </w:rPr>
        <w:t>经费支出决算情况说明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八、政府性基金预算收入支出决算情况</w:t>
      </w:r>
      <w:r>
        <w:rPr>
          <w:rFonts w:hint="eastAsia" w:ascii="仿宋_GB2312" w:hAnsi="仿宋_GB2312" w:eastAsia="仿宋_GB2312" w:cs="仿宋_GB2312"/>
          <w:color w:val="000000"/>
          <w:kern w:val="0"/>
          <w:sz w:val="28"/>
          <w:szCs w:val="28"/>
          <w:lang w:eastAsia="zh-CN"/>
        </w:rPr>
        <w:t>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w:t>
      </w:r>
      <w:r>
        <w:rPr>
          <w:rFonts w:hint="eastAsia" w:ascii="仿宋_GB2312" w:hAnsi="仿宋_GB2312" w:eastAsia="仿宋_GB2312" w:cs="仿宋_GB2312"/>
          <w:color w:val="000000"/>
          <w:kern w:val="0"/>
          <w:sz w:val="28"/>
          <w:szCs w:val="28"/>
          <w:lang w:val="en-US" w:eastAsia="zh-CN"/>
        </w:rPr>
        <w:t>关于</w:t>
      </w:r>
      <w:r>
        <w:rPr>
          <w:rFonts w:hint="eastAsia" w:ascii="仿宋_GB2312" w:hAnsi="仿宋_GB2312" w:eastAsia="仿宋_GB2312" w:cs="仿宋_GB2312"/>
          <w:color w:val="000000"/>
          <w:kern w:val="0"/>
          <w:sz w:val="28"/>
          <w:szCs w:val="28"/>
        </w:rPr>
        <w:t>机关运行经费支出说明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rPr>
        <w:t>十、一般性支出情况</w:t>
      </w:r>
      <w:r>
        <w:rPr>
          <w:rFonts w:hint="eastAsia" w:ascii="仿宋_GB2312" w:hAnsi="仿宋_GB2312" w:eastAsia="仿宋_GB2312" w:cs="仿宋_GB2312"/>
          <w:color w:val="000000"/>
          <w:kern w:val="0"/>
          <w:sz w:val="28"/>
          <w:szCs w:val="28"/>
          <w:lang w:eastAsia="zh-CN"/>
        </w:rPr>
        <w:t>说明</w:t>
      </w:r>
    </w:p>
    <w:p>
      <w:pPr>
        <w:keepNext w:val="false"/>
        <w:keepLines w:val="false"/>
        <w:pageBreakBefore w:val="false"/>
        <w:widowControl w:val="false"/>
        <w:kinsoku/>
        <w:wordWrap/>
        <w:overflowPunct/>
        <w:topLinePunct w:val="false"/>
        <w:autoSpaceDE w:val="false"/>
        <w:autoSpaceDN w:val="false"/>
        <w:bidi w:val="false"/>
        <w:adjustRightInd w:val="false"/>
        <w:snapToGrid/>
        <w:spacing w:line="460" w:lineRule="exact"/>
        <w:ind w:firstLine="700" w:firstLineChars="250"/>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w:t>
      </w:r>
      <w:r>
        <w:rPr>
          <w:rFonts w:hint="eastAsia" w:ascii="仿宋_GB2312" w:hAnsi="仿宋_GB2312" w:eastAsia="仿宋_GB2312" w:cs="仿宋_GB2312"/>
          <w:color w:val="000000"/>
          <w:kern w:val="0"/>
          <w:sz w:val="28"/>
          <w:szCs w:val="28"/>
          <w:lang w:val="en-US" w:eastAsia="zh-CN"/>
        </w:rPr>
        <w:t>一</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val="en-US" w:eastAsia="zh-CN"/>
        </w:rPr>
        <w:t>关于</w:t>
      </w:r>
      <w:r>
        <w:rPr>
          <w:rFonts w:hint="eastAsia" w:ascii="仿宋_GB2312" w:hAnsi="仿宋_GB2312" w:eastAsia="仿宋_GB2312" w:cs="仿宋_GB2312"/>
          <w:color w:val="000000"/>
          <w:kern w:val="0"/>
          <w:sz w:val="28"/>
          <w:szCs w:val="28"/>
        </w:rPr>
        <w:t>政府采购支出说明</w:t>
      </w:r>
    </w:p>
    <w:p>
      <w:pPr>
        <w:pStyle w:val="6"/>
        <w:keepNext w:val="false"/>
        <w:keepLines w:val="false"/>
        <w:pageBreakBefore w:val="false"/>
        <w:widowControl w:val="false"/>
        <w:kinsoku/>
        <w:wordWrap/>
        <w:overflowPunct/>
        <w:topLinePunct w:val="false"/>
        <w:bidi w:val="false"/>
        <w:snapToGrid/>
        <w:spacing w:line="460" w:lineRule="exact"/>
        <w:ind w:firstLine="700" w:firstLineChars="25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关于</w:t>
      </w:r>
      <w:r>
        <w:rPr>
          <w:rFonts w:hint="eastAsia" w:ascii="仿宋_GB2312" w:hAnsi="仿宋_GB2312" w:eastAsia="仿宋_GB2312" w:cs="仿宋_GB2312"/>
          <w:sz w:val="28"/>
          <w:szCs w:val="28"/>
        </w:rPr>
        <w:t>国有资产占用情况说明</w:t>
      </w:r>
    </w:p>
    <w:p>
      <w:pPr>
        <w:pStyle w:val="6"/>
        <w:keepNext w:val="false"/>
        <w:keepLines w:val="false"/>
        <w:pageBreakBefore w:val="false"/>
        <w:widowControl w:val="false"/>
        <w:kinsoku/>
        <w:wordWrap/>
        <w:overflowPunct/>
        <w:topLinePunct w:val="false"/>
        <w:bidi w:val="false"/>
        <w:snapToGrid/>
        <w:spacing w:line="460" w:lineRule="exact"/>
        <w:ind w:firstLine="700" w:firstLineChars="250"/>
        <w:textAlignment w:val="auto"/>
        <w:rPr>
          <w:rFonts w:ascii="仿宋_GB2312" w:hAnsi="仿宋_GB2312" w:cs="仿宋_GB2312" w:eastAsiaTheme="minorEastAsia"/>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关于</w:t>
      </w:r>
      <w:r>
        <w:rPr>
          <w:rFonts w:hint="eastAsia" w:ascii="仿宋_GB2312" w:hAnsi="仿宋_GB2312" w:eastAsia="仿宋_GB2312" w:cs="仿宋_GB2312"/>
          <w:sz w:val="28"/>
          <w:szCs w:val="28"/>
        </w:rPr>
        <w:t>预算绩效情况说明</w:t>
      </w:r>
    </w:p>
    <w:p>
      <w:pPr>
        <w:autoSpaceDE w:val="false"/>
        <w:autoSpaceDN w:val="false"/>
        <w:adjustRightInd w:val="false"/>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false"/>
        <w:autoSpaceDN w:val="false"/>
        <w:adjustRightInd w:val="false"/>
        <w:spacing w:line="500" w:lineRule="exact"/>
        <w:jc w:val="left"/>
        <w:outlineLvl w:val="0"/>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第五部分附件</w:t>
      </w:r>
    </w:p>
    <w:p>
      <w:pPr>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br w:type="page"/>
      </w:r>
    </w:p>
    <w:p>
      <w:pPr>
        <w:pStyle w:val="6"/>
        <w:jc w:val="center"/>
        <w:rPr>
          <w:rFonts w:hint="eastAsia"/>
          <w:sz w:val="72"/>
          <w:szCs w:val="72"/>
        </w:rPr>
      </w:pPr>
    </w:p>
    <w:p>
      <w:pPr>
        <w:pStyle w:val="6"/>
        <w:jc w:val="center"/>
        <w:rPr>
          <w:rFonts w:hint="eastAsia"/>
          <w:sz w:val="72"/>
          <w:szCs w:val="72"/>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6"/>
        <w:jc w:val="center"/>
        <w:rPr>
          <w:rFonts w:hint="eastAsia" w:ascii="方正小标宋_GBK" w:hAnsi="方正小标宋_GBK" w:eastAsia="方正小标宋_GBK" w:cs="方正小标宋_GBK"/>
          <w:sz w:val="84"/>
          <w:szCs w:val="84"/>
        </w:rPr>
      </w:pPr>
    </w:p>
    <w:p>
      <w:pPr>
        <w:pStyle w:val="6"/>
        <w:jc w:val="center"/>
        <w:outlineLvl w:val="0"/>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lang w:val="en-US" w:eastAsia="zh-CN"/>
        </w:rPr>
        <w:t>长沙市芙蓉区动物疫病预防控制中心</w:t>
      </w:r>
    </w:p>
    <w:p>
      <w:pPr>
        <w:pStyle w:val="6"/>
        <w:jc w:val="center"/>
        <w:outlineLvl w:val="0"/>
        <w:rPr>
          <w:rFonts w:hint="eastAsia"/>
          <w:sz w:val="84"/>
          <w:szCs w:val="84"/>
        </w:rPr>
      </w:pPr>
      <w:r>
        <w:rPr>
          <w:rFonts w:hint="eastAsia" w:ascii="方正小标宋_GBK" w:hAnsi="方正小标宋_GBK" w:eastAsia="方正小标宋_GBK" w:cs="方正小标宋_GBK"/>
          <w:sz w:val="84"/>
          <w:szCs w:val="84"/>
          <w:lang w:val="en-US" w:eastAsia="zh-CN"/>
        </w:rPr>
        <w:t>部门（单位）</w:t>
      </w:r>
      <w:r>
        <w:rPr>
          <w:rFonts w:hint="eastAsia" w:ascii="方正小标宋_GBK" w:hAnsi="方正小标宋_GBK" w:eastAsia="方正小标宋_GBK" w:cs="方正小标宋_GBK"/>
          <w:sz w:val="84"/>
          <w:szCs w:val="84"/>
        </w:rPr>
        <w:t>概况</w:t>
      </w:r>
    </w:p>
    <w:p>
      <w:pPr>
        <w:rPr>
          <w:rFonts w:hint="eastAsia" w:eastAsia="黑体"/>
          <w:sz w:val="84"/>
          <w:szCs w:val="84"/>
          <w:lang w:eastAsia="zh-CN"/>
        </w:rPr>
      </w:pPr>
      <w:r>
        <w:rPr>
          <w:rFonts w:hint="eastAsia"/>
          <w:sz w:val="84"/>
          <w:szCs w:val="84"/>
        </w:rPr>
        <w:br w:type="page"/>
      </w:r>
    </w:p>
    <w:p>
      <w:pPr>
        <w:pStyle w:val="6"/>
        <w:outlineLvl w:val="0"/>
        <w:rPr>
          <w:rFonts w:hint="eastAsia" w:hAnsi="黑体"/>
          <w:b/>
          <w:sz w:val="32"/>
          <w:szCs w:val="32"/>
        </w:rPr>
      </w:pPr>
      <w:r>
        <w:rPr>
          <w:rFonts w:hint="eastAsia" w:hAnsi="黑体"/>
          <w:b w:val="false"/>
          <w:bCs/>
          <w:sz w:val="32"/>
          <w:szCs w:val="32"/>
          <w:lang w:val="en-US" w:eastAsia="zh-CN"/>
        </w:rPr>
        <w:t>一、</w:t>
      </w:r>
      <w:r>
        <w:rPr>
          <w:rFonts w:hint="eastAsia" w:hAnsi="黑体"/>
          <w:b w:val="false"/>
          <w:bCs/>
          <w:sz w:val="32"/>
          <w:szCs w:val="32"/>
        </w:rPr>
        <w:t>部门职责</w:t>
      </w:r>
    </w:p>
    <w:p>
      <w:pPr>
        <w:ind w:firstLine="640" w:firstLineChars="200"/>
        <w:jc w:val="left"/>
        <w:rPr>
          <w:rFonts w:ascii="仿宋_GB2312" w:eastAsia="仿宋_GB2312" w:hAnsiTheme="minorEastAsia"/>
          <w:sz w:val="28"/>
          <w:szCs w:val="32"/>
        </w:rPr>
      </w:pPr>
      <w:r>
        <w:rPr>
          <w:rFonts w:hint="eastAsia" w:ascii="仿宋_GB2312" w:hAnsi="仿宋_GB2312" w:eastAsia="仿宋_GB2312" w:cs="仿宋_GB2312"/>
          <w:color w:val="000000"/>
          <w:kern w:val="0"/>
          <w:sz w:val="32"/>
          <w:szCs w:val="32"/>
          <w:lang w:val="en-US" w:eastAsia="zh-CN" w:bidi="ar-SA"/>
        </w:rPr>
        <w:t>重大动物疫病预防控制、病死动物无害化处理监管、动物产地检疫、动物产品质量安全监管等动物卫生公共安全工作。</w:t>
      </w:r>
    </w:p>
    <w:p>
      <w:pPr>
        <w:pStyle w:val="6"/>
        <w:outlineLvl w:val="0"/>
        <w:rPr>
          <w:rFonts w:hint="eastAsia" w:hAnsi="黑体"/>
          <w:b/>
          <w:sz w:val="32"/>
          <w:szCs w:val="32"/>
        </w:rPr>
      </w:pPr>
      <w:r>
        <w:rPr>
          <w:rFonts w:hint="eastAsia" w:hAnsi="黑体"/>
          <w:b w:val="false"/>
          <w:bCs/>
          <w:sz w:val="32"/>
          <w:szCs w:val="32"/>
        </w:rPr>
        <w:t>二、机构设置及决算单位构成</w:t>
      </w:r>
    </w:p>
    <w:p>
      <w:pPr>
        <w:keepNext w:val="false"/>
        <w:keepLines w:val="false"/>
        <w:pageBreakBefore w:val="false"/>
        <w:widowControl w:val="false"/>
        <w:kinsoku/>
        <w:wordWrap/>
        <w:overflowPunct/>
        <w:topLinePunct w:val="false"/>
        <w:autoSpaceDE/>
        <w:autoSpaceDN/>
        <w:bidi w:val="false"/>
        <w:adjustRightInd/>
        <w:snapToGrid/>
        <w:spacing w:line="600" w:lineRule="exact"/>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（一）内设机构设置。长沙市芙蓉区动物疫病预防控制中心内设机构包括：（一）内设机构设置。长沙市芙蓉区动物疫病预防控制中心内设机构包括：办公室，监督科，防疫科。</w:t>
      </w:r>
    </w:p>
    <w:p>
      <w:pPr>
        <w:keepNext w:val="false"/>
        <w:keepLines w:val="false"/>
        <w:pageBreakBefore w:val="false"/>
        <w:widowControl w:val="false"/>
        <w:kinsoku/>
        <w:wordWrap/>
        <w:overflowPunct/>
        <w:topLinePunct w:val="false"/>
        <w:autoSpaceDE/>
        <w:autoSpaceDN/>
        <w:bidi w:val="false"/>
        <w:adjustRightInd/>
        <w:snapToGrid/>
        <w:spacing w:line="600" w:lineRule="exact"/>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（二）决算单位构成。长沙市芙蓉区动物疫病预防控制中心单位2022年部门决算汇总公开单位构成包括：</w:t>
      </w:r>
    </w:p>
    <w:p>
      <w:pPr>
        <w:keepNext w:val="false"/>
        <w:keepLines w:val="false"/>
        <w:pageBreakBefore w:val="false"/>
        <w:widowControl w:val="false"/>
        <w:kinsoku/>
        <w:wordWrap/>
        <w:overflowPunct/>
        <w:topLinePunct w:val="false"/>
        <w:autoSpaceDE/>
        <w:autoSpaceDN/>
        <w:bidi w:val="false"/>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1、长沙市芙蓉区动物疫病预防控制中心</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
      </w:r>
    </w:p>
    <w:p>
      <w:pPr>
        <w:rPr>
          <w:rFonts w:ascii="黑体" w:hAnsi="黑体" w:eastAsia="黑体"/>
          <w:sz w:val="28"/>
          <w:szCs w:val="28"/>
        </w:rPr>
      </w:pPr>
      <w:r>
        <w:rPr>
          <w:rFonts w:ascii="仿宋_GB2312" w:eastAsia="仿宋_GB2312" w:hAnsiTheme="minorEastAsia"/>
          <w:sz w:val="28"/>
          <w:szCs w:val="32"/>
        </w:rPr>
        <w:br w:type="page"/>
      </w: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84"/>
          <w:szCs w:val="84"/>
        </w:rPr>
        <w:t>第二部分</w:t>
      </w:r>
    </w:p>
    <w:p>
      <w:pPr>
        <w:jc w:val="center"/>
        <w:rPr>
          <w:rFonts w:hint="eastAsia" w:ascii="方正小标宋_GBK" w:hAnsi="方正小标宋_GBK" w:eastAsia="方正小标宋_GBK" w:cs="方正小标宋_GBK"/>
          <w:sz w:val="72"/>
          <w:szCs w:val="72"/>
        </w:rPr>
      </w:pPr>
    </w:p>
    <w:p>
      <w:pPr>
        <w:jc w:val="center"/>
        <w:outlineLvl w:val="0"/>
        <w:rPr>
          <w:rFonts w:hint="eastAsia" w:ascii="方正小标宋_GBK" w:hAnsi="方正小标宋_GBK" w:eastAsia="方正小标宋_GBK" w:cs="方正小标宋_GBK"/>
          <w:sz w:val="72"/>
          <w:szCs w:val="72"/>
          <w:lang w:val="en-US" w:eastAsia="zh-CN"/>
        </w:rPr>
      </w:pPr>
      <w:r>
        <w:rPr>
          <w:rFonts w:hint="eastAsia" w:ascii="方正小标宋_GBK" w:hAnsi="方正小标宋_GBK" w:eastAsia="方正小标宋_GBK" w:cs="方正小标宋_GBK"/>
          <w:sz w:val="84"/>
          <w:szCs w:val="84"/>
        </w:rPr>
        <w:t>部门决算表</w:t>
      </w:r>
      <w:r>
        <w:rPr>
          <w:rFonts w:hint="eastAsia" w:ascii="方正小标宋_GBK" w:hAnsi="方正小标宋_GBK" w:eastAsia="方正小标宋_GBK" w:cs="方正小标宋_GBK"/>
          <w:sz w:val="84"/>
          <w:szCs w:val="84"/>
          <w:lang w:eastAsia="zh-CN"/>
        </w:rPr>
        <w:t>（</w:t>
      </w:r>
      <w:r>
        <w:rPr>
          <w:rFonts w:hint="eastAsia" w:ascii="方正小标宋_GBK" w:hAnsi="方正小标宋_GBK" w:eastAsia="方正小标宋_GBK" w:cs="方正小标宋_GBK"/>
          <w:sz w:val="84"/>
          <w:szCs w:val="84"/>
          <w:lang w:val="en-US" w:eastAsia="zh-CN"/>
        </w:rPr>
        <w:t>见附件</w:t>
      </w:r>
      <w:r>
        <w:rPr>
          <w:rFonts w:hint="eastAsia" w:ascii="方正小标宋_GBK" w:hAnsi="方正小标宋_GBK" w:eastAsia="方正小标宋_GBK" w:cs="方正小标宋_GBK"/>
          <w:sz w:val="84"/>
          <w:szCs w:val="84"/>
          <w:lang w:eastAsia="zh-CN"/>
        </w:rPr>
        <w:t>）</w:t>
      </w:r>
    </w:p>
    <w:p>
      <w:pPr>
        <w:jc w:val="center"/>
        <w:rPr>
          <w:sz w:val="72"/>
          <w:szCs w:val="72"/>
        </w:rPr>
      </w:pPr>
    </w:p>
    <w:p>
      <w:pPr>
        <w:rPr>
          <w:sz w:val="32"/>
          <w:szCs w:val="32"/>
        </w:rPr>
      </w:pPr>
      <w:r>
        <w:rPr>
          <w:sz w:val="72"/>
          <w:szCs w:val="72"/>
        </w:rPr>
        <w:br w:type="page"/>
      </w: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第三部分</w:t>
      </w:r>
    </w:p>
    <w:p>
      <w:pPr>
        <w:pStyle w:val="6"/>
        <w:jc w:val="center"/>
        <w:rPr>
          <w:rFonts w:hint="eastAsia" w:ascii="方正小标宋_GBK" w:hAnsi="方正小标宋_GBK" w:eastAsia="方正小标宋_GBK" w:cs="方正小标宋_GBK"/>
          <w:sz w:val="84"/>
          <w:szCs w:val="84"/>
        </w:rPr>
      </w:pPr>
    </w:p>
    <w:p>
      <w:pPr>
        <w:pStyle w:val="6"/>
        <w:jc w:val="center"/>
        <w:outlineLvl w:val="0"/>
        <w:rPr>
          <w:sz w:val="84"/>
          <w:szCs w:val="84"/>
        </w:rPr>
      </w:pPr>
      <w:r>
        <w:rPr>
          <w:rFonts w:hint="eastAsia" w:ascii="方正小标宋_GBK" w:hAnsi="方正小标宋_GBK" w:eastAsia="方正小标宋_GBK" w:cs="方正小标宋_GBK"/>
          <w:sz w:val="84"/>
          <w:szCs w:val="84"/>
          <w:lang w:val="en-US" w:eastAsia="zh-CN"/>
        </w:rPr>
        <w:t>2022</w:t>
      </w:r>
      <w:r>
        <w:rPr>
          <w:rFonts w:hint="eastAsia" w:ascii="方正小标宋_GBK" w:hAnsi="方正小标宋_GBK" w:eastAsia="方正小标宋_GBK" w:cs="方正小标宋_GBK"/>
          <w:sz w:val="84"/>
          <w:szCs w:val="84"/>
        </w:rPr>
        <w:t>年度部门决算情况说明</w:t>
      </w:r>
    </w:p>
    <w:p>
      <w:pPr>
        <w:rPr>
          <w:rFonts w:ascii="黑体" w:hAnsi="黑体" w:eastAsia="黑体"/>
          <w:sz w:val="28"/>
          <w:szCs w:val="28"/>
        </w:rPr>
      </w:pPr>
      <w:r>
        <w:rPr>
          <w:rFonts w:ascii="黑体" w:hAnsi="黑体" w:eastAsia="黑体"/>
          <w:sz w:val="28"/>
          <w:szCs w:val="28"/>
        </w:rPr>
        <w:br w:type="page"/>
      </w:r>
    </w:p>
    <w:p>
      <w:pPr>
        <w:pStyle w:val="6"/>
        <w:outlineLvl w:val="0"/>
        <w:rPr>
          <w:rFonts w:hAnsi="黑体"/>
          <w:b/>
          <w:sz w:val="32"/>
          <w:szCs w:val="32"/>
        </w:rPr>
      </w:pPr>
      <w:r>
        <w:rPr>
          <w:rFonts w:hint="eastAsia" w:hAnsi="黑体"/>
          <w:b w:val="false"/>
          <w:bCs/>
          <w:sz w:val="32"/>
          <w:szCs w:val="32"/>
        </w:rPr>
        <w:t>一、收入支出决算总体情况说明</w:t>
      </w:r>
    </w:p>
    <w:p>
      <w:pPr>
        <w:pStyle w:val="6"/>
        <w:ind w:firstLine="640" w:firstLineChars="200"/>
        <w:rPr>
          <w:rFonts w:hint="eastAsia" w:asciiTheme="minorEastAsia" w:hAnsiTheme="minorEastAsia" w:eastAsiaTheme="minorEastAsia"/>
          <w:sz w:val="32"/>
          <w:szCs w:val="32"/>
          <w:lang w:val="en-US"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224.18</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lang w:val="en-US" w:eastAsia="zh-CN"/>
        </w:rPr>
        <w:t>增加74.34万元，增长49.61%，主要是因为因为2021年注销实体账户，设立零余额账户，实际2022年财政拨款收入与上年持平。</w:t>
      </w:r>
    </w:p>
    <w:p>
      <w:pPr>
        <w:pStyle w:val="6"/>
        <w:rPr>
          <w:rFonts w:hAnsi="黑体"/>
          <w:b/>
          <w:sz w:val="32"/>
          <w:szCs w:val="32"/>
        </w:rPr>
      </w:pPr>
      <w:r>
        <w:rPr>
          <w:rFonts w:hint="eastAsia" w:hAnsi="黑体"/>
          <w:b w:val="false"/>
          <w:bCs/>
          <w:sz w:val="32"/>
          <w:szCs w:val="32"/>
        </w:rPr>
        <w:t>二、收入决算情况说明</w:t>
      </w:r>
    </w:p>
    <w:p>
      <w:pPr>
        <w:pStyle w:val="6"/>
        <w:ind w:firstLine="640" w:firstLineChars="200"/>
        <w:rPr>
          <w:rFonts w:hint="default" w:asciiTheme="minorEastAsia" w:hAnsiTheme="minorEastAsia" w:eastAsiaTheme="minorEastAsia"/>
          <w:sz w:val="32"/>
          <w:szCs w:val="32"/>
          <w:lang w:val="en-US"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224.18</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财政拨款收入224.18万元，占100%。</w:t>
      </w:r>
    </w:p>
    <w:p>
      <w:pPr>
        <w:pStyle w:val="6"/>
        <w:outlineLvl w:val="0"/>
        <w:rPr>
          <w:rFonts w:hAnsi="黑体"/>
          <w:b/>
          <w:sz w:val="32"/>
          <w:szCs w:val="32"/>
        </w:rPr>
      </w:pPr>
      <w:r>
        <w:rPr>
          <w:rFonts w:hint="eastAsia" w:hAnsi="黑体"/>
          <w:b w:val="false"/>
          <w:bCs/>
          <w:sz w:val="32"/>
          <w:szCs w:val="32"/>
        </w:rPr>
        <w:t>三、支出决算情况说明</w:t>
      </w:r>
    </w:p>
    <w:p>
      <w:pPr>
        <w:pStyle w:val="6"/>
        <w:ind w:firstLine="640" w:firstLineChars="200"/>
        <w:rPr>
          <w:rFonts w:asciiTheme="minorEastAsia" w:hAnsiTheme="minorEastAsia" w:eastAsiaTheme="minorEastAsia"/>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224.18</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基本支出122.3万元，占54.55%；项目支出101.88万元，占45.45%。</w:t>
      </w:r>
    </w:p>
    <w:p>
      <w:pPr>
        <w:pStyle w:val="6"/>
        <w:outlineLvl w:val="0"/>
        <w:rPr>
          <w:rFonts w:hAnsi="黑体"/>
          <w:b/>
          <w:sz w:val="32"/>
          <w:szCs w:val="32"/>
        </w:rPr>
      </w:pPr>
      <w:r>
        <w:rPr>
          <w:rFonts w:hint="eastAsia" w:hAnsi="黑体"/>
          <w:b w:val="false"/>
          <w:bCs/>
          <w:sz w:val="32"/>
          <w:szCs w:val="32"/>
        </w:rPr>
        <w:t>四、财政拨款收入支出决算总体情况说明</w:t>
      </w:r>
    </w:p>
    <w:p>
      <w:pPr>
        <w:pStyle w:val="6"/>
        <w:ind w:firstLine="640" w:firstLineChars="200"/>
        <w:rPr>
          <w:rFonts w:hint="default" w:asciiTheme="minorEastAsia" w:hAnsiTheme="minorEastAsia" w:eastAsiaTheme="minorEastAsia"/>
          <w:sz w:val="32"/>
          <w:szCs w:val="32"/>
          <w:lang w:val="en-US"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年度财政拨款收、支总计</w:t>
      </w:r>
      <w:r>
        <w:rPr>
          <w:rFonts w:hint="eastAsia" w:ascii="仿宋_GB2312" w:hAnsi="仿宋_GB2312" w:eastAsia="仿宋_GB2312" w:cs="仿宋_GB2312"/>
          <w:sz w:val="32"/>
          <w:szCs w:val="32"/>
          <w:lang w:val="en-US" w:eastAsia="zh-CN"/>
        </w:rPr>
        <w:t>224.18</w:t>
      </w:r>
      <w:r>
        <w:rPr>
          <w:rFonts w:hint="eastAsia" w:ascii="仿宋_GB2312" w:hAnsi="仿宋_GB2312" w:eastAsia="仿宋_GB2312" w:cs="仿宋_GB2312"/>
          <w:sz w:val="32"/>
          <w:szCs w:val="32"/>
        </w:rPr>
        <w:t>万元，与上年相比，</w:t>
      </w:r>
      <w:r>
        <w:rPr>
          <w:rFonts w:hint="eastAsia" w:ascii="仿宋_GB2312" w:hAnsi="仿宋_GB2312" w:eastAsia="仿宋_GB2312" w:cs="仿宋_GB2312"/>
          <w:sz w:val="32"/>
          <w:szCs w:val="32"/>
          <w:lang w:val="en-US" w:eastAsia="zh-CN"/>
        </w:rPr>
        <w:t>增加162.80万元，增长265.23%，主要是因为因为2021年注销实体账户，设立零余额账户，实际2022年财政拨款收入、支出与上年持平。</w:t>
      </w:r>
    </w:p>
    <w:p>
      <w:pPr>
        <w:pStyle w:val="6"/>
        <w:outlineLvl w:val="0"/>
        <w:rPr>
          <w:rFonts w:hAnsi="黑体"/>
          <w:b/>
          <w:sz w:val="32"/>
          <w:szCs w:val="32"/>
        </w:rPr>
      </w:pPr>
      <w:r>
        <w:rPr>
          <w:rFonts w:hint="eastAsia" w:hAnsi="黑体"/>
          <w:b w:val="false"/>
          <w:bCs/>
          <w:sz w:val="32"/>
          <w:szCs w:val="32"/>
        </w:rPr>
        <w:t>五、一般公共预算财政拨款支出决算情况说明</w:t>
      </w:r>
    </w:p>
    <w:p>
      <w:pPr>
        <w:pStyle w:val="6"/>
        <w:outlineLvl w:val="1"/>
        <w:rPr>
          <w:rFonts w:asciiTheme="minorEastAsia" w:hAnsiTheme="minorEastAsia" w:eastAsiaTheme="minorEastAsia"/>
          <w:b/>
          <w:sz w:val="32"/>
          <w:szCs w:val="32"/>
        </w:rPr>
      </w:pPr>
      <w:r>
        <w:rPr>
          <w:rFonts w:hint="eastAsia" w:ascii="楷体" w:hAnsi="楷体" w:eastAsia="楷体" w:cs="楷体"/>
          <w:b w:val="false"/>
          <w:bCs/>
          <w:sz w:val="32"/>
          <w:szCs w:val="32"/>
        </w:rPr>
        <w:t>（一）财政拨款支出决算总体情况</w:t>
      </w:r>
    </w:p>
    <w:p>
      <w:pPr>
        <w:pStyle w:val="6"/>
        <w:ind w:firstLine="640" w:firstLineChars="200"/>
        <w:rPr>
          <w:rFonts w:hint="default" w:asciiTheme="minorEastAsia" w:hAnsiTheme="minorEastAsia" w:eastAsiaTheme="minorEastAsia"/>
          <w:sz w:val="32"/>
          <w:szCs w:val="32"/>
          <w:lang w:val="en-US"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224.18</w:t>
      </w:r>
      <w:r>
        <w:rPr>
          <w:rFonts w:hint="eastAsia" w:ascii="仿宋_GB2312" w:hAnsi="仿宋_GB2312" w:eastAsia="仿宋_GB2312" w:cs="仿宋_GB2312"/>
          <w:sz w:val="32"/>
          <w:szCs w:val="32"/>
        </w:rPr>
        <w:t>万元，占本年支出合计</w:t>
      </w:r>
      <w:r>
        <w:rPr>
          <w:rFonts w:hint="eastAsia" w:ascii="仿宋_GB2312" w:hAnsi="仿宋_GB2312" w:eastAsia="仿宋_GB2312" w:cs="仿宋_GB2312"/>
          <w:sz w:val="32"/>
          <w:szCs w:val="32"/>
          <w:lang w:val="en-US" w:eastAsia="zh-CN"/>
        </w:rPr>
        <w:t>的100.00</w:t>
      </w:r>
      <w:r>
        <w:rPr>
          <w:rFonts w:hint="eastAsia" w:ascii="仿宋_GB2312" w:hAnsi="仿宋_GB2312" w:eastAsia="仿宋_GB2312" w:cs="仿宋_GB2312"/>
          <w:sz w:val="32"/>
          <w:szCs w:val="32"/>
        </w:rPr>
        <w:t>%，与上年相比，</w:t>
      </w:r>
      <w:r>
        <w:rPr>
          <w:rFonts w:hint="eastAsia" w:ascii="仿宋_GB2312" w:hAnsi="仿宋_GB2312" w:eastAsia="仿宋_GB2312" w:cs="仿宋_GB2312"/>
          <w:sz w:val="32"/>
          <w:szCs w:val="32"/>
          <w:lang w:val="en-US" w:eastAsia="zh-CN"/>
        </w:rPr>
        <w:t>财政拨款支出增加162.80万元，增长265.23%，主要是因为主要是因为2021年初注销实体账户，设立零余额账户，实际开支与上年持平。</w:t>
      </w:r>
    </w:p>
    <w:p>
      <w:pPr>
        <w:pStyle w:val="6"/>
        <w:outlineLvl w:val="1"/>
        <w:rPr>
          <w:rFonts w:asciiTheme="minorEastAsia" w:hAnsiTheme="minorEastAsia" w:eastAsiaTheme="minorEastAsia"/>
          <w:b/>
          <w:sz w:val="32"/>
          <w:szCs w:val="32"/>
        </w:rPr>
      </w:pPr>
      <w:r>
        <w:rPr>
          <w:rFonts w:hint="eastAsia" w:ascii="楷体" w:hAnsi="楷体" w:eastAsia="楷体" w:cs="楷体"/>
          <w:b w:val="false"/>
          <w:bCs/>
          <w:sz w:val="32"/>
          <w:szCs w:val="32"/>
        </w:rPr>
        <w:t>（二）财政拨款支出决算结构情况</w:t>
      </w:r>
    </w:p>
    <w:p>
      <w:pPr>
        <w:pStyle w:val="6"/>
        <w:ind w:firstLine="640" w:firstLineChars="200"/>
        <w:rPr>
          <w:rFonts w:hint="default" w:asciiTheme="minorEastAsia" w:hAnsiTheme="minorEastAsia" w:eastAsiaTheme="minorEastAsia"/>
          <w:sz w:val="32"/>
          <w:szCs w:val="32"/>
          <w:lang w:val="en-US" w:eastAsia="zh-CN"/>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zh-CN"/>
        </w:rPr>
        <w:t>224.18万</w:t>
      </w:r>
      <w:r>
        <w:rPr>
          <w:rFonts w:hint="eastAsia" w:ascii="仿宋_GB2312" w:hAnsi="仿宋_GB2312" w:eastAsia="仿宋_GB2312" w:cs="仿宋_GB2312"/>
          <w:sz w:val="32"/>
          <w:szCs w:val="32"/>
        </w:rPr>
        <w:t>元，主要用于以下方面：</w:t>
      </w:r>
      <w:r>
        <w:rPr>
          <w:rFonts w:hint="eastAsia" w:ascii="仿宋_GB2312" w:hAnsi="仿宋_GB2312" w:eastAsia="仿宋_GB2312" w:cs="仿宋_GB2312"/>
          <w:sz w:val="32"/>
          <w:szCs w:val="32"/>
          <w:lang w:val="en-US" w:eastAsia="zh-CN"/>
        </w:rPr>
        <w:t>社会保障和就业支出7.25万元，占3.23%；农林水支出203.08万元，占90.59%；交通运输支出5万元，占2.23%；住房保障支出8.85万元，占3.95%。</w:t>
      </w:r>
    </w:p>
    <w:p>
      <w:pPr>
        <w:pStyle w:val="6"/>
        <w:outlineLvl w:val="1"/>
        <w:rPr>
          <w:rFonts w:asciiTheme="minorEastAsia" w:hAnsiTheme="minorEastAsia" w:eastAsiaTheme="minorEastAsia"/>
          <w:b/>
          <w:sz w:val="32"/>
          <w:szCs w:val="32"/>
        </w:rPr>
      </w:pPr>
      <w:r>
        <w:rPr>
          <w:rFonts w:hint="eastAsia" w:ascii="楷体" w:hAnsi="楷体" w:eastAsia="楷体" w:cs="楷体"/>
          <w:b w:val="false"/>
          <w:bCs/>
          <w:sz w:val="32"/>
          <w:szCs w:val="32"/>
        </w:rPr>
        <w:t>（三）财政拨款支出决算具体情况</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年度财政拨款支出年初预算数为</w:t>
      </w:r>
      <w:r>
        <w:rPr>
          <w:rFonts w:hint="eastAsia" w:ascii="仿宋_GB2312" w:hAnsi="仿宋_GB2312" w:eastAsia="仿宋_GB2312" w:cs="仿宋_GB2312"/>
          <w:sz w:val="32"/>
          <w:szCs w:val="32"/>
          <w:lang w:val="en-US" w:eastAsia="zh-CN"/>
        </w:rPr>
        <w:t>231.73</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224.18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完成年初预算的96.74%</w:t>
      </w:r>
      <w:r>
        <w:rPr>
          <w:rFonts w:hint="eastAsia" w:ascii="仿宋_GB2312" w:hAnsi="仿宋_GB2312" w:eastAsia="仿宋_GB2312" w:cs="仿宋_GB2312"/>
          <w:sz w:val="32"/>
          <w:szCs w:val="32"/>
        </w:rPr>
        <w:t>，其中：</w:t>
      </w:r>
    </w:p>
    <w:p>
      <w:pPr>
        <w:pStyle w:val="6"/>
        <w:ind w:firstLine="640" w:firstLineChars="200"/>
        <w:rPr>
          <w:rFonts w:ascii="黑体" w:hAnsi="黑体" w:eastAsia="黑体"/>
          <w:sz w:val="28"/>
          <w:szCs w:val="28"/>
        </w:rPr>
      </w:pPr>
      <w:r>
        <w:rPr>
          <w:rFonts w:hint="eastAsia" w:ascii="仿宋_GB2312" w:hAnsi="仿宋_GB2312" w:eastAsia="仿宋_GB2312" w:cs="仿宋_GB2312"/>
          <w:b w:val="false"/>
          <w:bCs w:val="false"/>
          <w:sz w:val="32"/>
          <w:szCs w:val="32"/>
          <w:lang w:val="en-US" w:eastAsia="zh-CN"/>
        </w:rPr>
        <w:t>1、社会保障和就业支出（类）行政事业单位养老支出（款）机关事业单位基本养老保险缴费支出（项）。</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年初预算4.84万元，支出决算为4.84万元，完成年初预算的100.00%，决算数等于年初预算数。</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2、社会保障和就业支出（类）行政事业单位养老支出（款）机关事业单位职业年金缴费支出（项）。</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年初预算2.42万元，支出决算为2.42万元，完成年初预算的100.00%，决算数等于年初预算数。</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3、农林水支出（类）农业农村（款）行政运行（项）。</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年初预算111.02万元，支出决算为108.43万元，完成年初预算的97.67%，决算数小于年初预算数的主要原因是：全年缩减开支，实际公用经费开支减少。</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4、农林水支出（类）农业农村（款）病虫害控制（项）。</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年初预算105万元，支出决算为94.65万元，完成年初预算的90.14%，决算数小于年初预算数的主要原因是：2022年9月进行项目经费调减，导致全年病虫害控制资金支出减少。</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5、交通运输支出（类）其他交通运输支出（款）其他交通运输支出（项）。</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年初预算0万元，支出决算为5万元，年初无预算，为年中追加指标，决算数大于年初预算数的主要原因是：在职在编事业编制人员年初无车补预算，年中发放车补；单位有购车一台，年初未纳入公车预算范畴，但是全年有运行维护开支。</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6、住房保障支出（类）住房改革支出（款）住房公积金（项）。</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年初预算8.45万元，支出决算为8.85万元，完成年初预算的104.73%，决算数大于年初预算数的主要原因是：2022年8月，全区统一调整公积金缴纳基数，但是，预算数按照年初数作预算。导致，实际住房公积金开支大于预算数。</w:t>
      </w:r>
    </w:p>
    <w:p>
      <w:pPr>
        <w:pStyle w:val="6"/>
        <w:outlineLvl w:val="0"/>
        <w:rPr>
          <w:rFonts w:hAnsi="黑体"/>
          <w:b/>
          <w:sz w:val="32"/>
          <w:szCs w:val="32"/>
        </w:rPr>
      </w:pPr>
      <w:r>
        <w:rPr>
          <w:rFonts w:hint="eastAsia" w:hAnsi="黑体"/>
          <w:b w:val="false"/>
          <w:bCs/>
          <w:sz w:val="32"/>
          <w:szCs w:val="32"/>
        </w:rPr>
        <w:t>六、一般公共预算财政拨款基本支出决算情况说明</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年度财政拨款基本支出</w:t>
      </w:r>
      <w:r>
        <w:rPr>
          <w:rFonts w:hint="eastAsia" w:ascii="仿宋_GB2312" w:hAnsi="仿宋_GB2312" w:eastAsia="仿宋_GB2312" w:cs="仿宋_GB2312"/>
          <w:sz w:val="32"/>
          <w:szCs w:val="32"/>
          <w:lang w:val="en-US" w:eastAsia="zh-CN"/>
        </w:rPr>
        <w:t>122.3</w:t>
      </w:r>
      <w:r>
        <w:rPr>
          <w:rFonts w:hint="eastAsia" w:ascii="仿宋_GB2312" w:hAnsi="仿宋_GB2312" w:eastAsia="仿宋_GB2312" w:cs="仿宋_GB2312"/>
          <w:sz w:val="32"/>
          <w:szCs w:val="32"/>
        </w:rPr>
        <w:t>万元，其中：</w:t>
      </w:r>
    </w:p>
    <w:p>
      <w:pPr>
        <w:pStyle w:val="6"/>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114.01</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93.22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主要包括基本工资、津贴补贴、奖金、伙食补助费</w:t>
      </w:r>
      <w:r>
        <w:rPr>
          <w:rFonts w:hint="eastAsia" w:ascii="仿宋_GB2312" w:hAnsi="仿宋_GB2312" w:eastAsia="仿宋_GB2312" w:cs="仿宋_GB2312"/>
          <w:sz w:val="32"/>
          <w:szCs w:val="32"/>
          <w:lang w:val="en-US" w:eastAsia="zh-CN"/>
        </w:rPr>
        <w:t>等。</w:t>
      </w:r>
    </w:p>
    <w:p>
      <w:pPr>
        <w:pStyle w:val="6"/>
        <w:ind w:firstLine="640" w:firstLineChars="200"/>
        <w:rPr>
          <w:rFonts w:hint="default" w:asciiTheme="minorEastAsia" w:hAnsiTheme="minorEastAsia" w:eastAsiaTheme="minorEastAsia"/>
          <w:sz w:val="32"/>
          <w:szCs w:val="32"/>
          <w:lang w:val="en-US" w:eastAsia="zh-CN"/>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8.29</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6.78</w:t>
      </w:r>
      <w:r>
        <w:rPr>
          <w:rFonts w:hint="eastAsia" w:ascii="仿宋_GB2312" w:hAnsi="仿宋_GB2312" w:eastAsia="仿宋_GB2312" w:cs="仿宋_GB2312"/>
          <w:sz w:val="32"/>
          <w:szCs w:val="32"/>
        </w:rPr>
        <w:t>%，主要包括办公费、印刷费、咨询费、手续费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pStyle w:val="6"/>
        <w:outlineLvl w:val="0"/>
        <w:rPr>
          <w:rFonts w:hAnsi="黑体"/>
          <w:b/>
          <w:sz w:val="32"/>
          <w:szCs w:val="32"/>
        </w:rPr>
      </w:pPr>
      <w:r>
        <w:rPr>
          <w:rFonts w:hint="eastAsia" w:hAnsi="黑体"/>
          <w:b w:val="false"/>
          <w:bCs/>
          <w:sz w:val="32"/>
          <w:szCs w:val="32"/>
        </w:rPr>
        <w:t>七、财政拨款三公经费支出决算情况说明</w:t>
      </w:r>
    </w:p>
    <w:p>
      <w:pPr>
        <w:pStyle w:val="6"/>
        <w:outlineLvl w:val="1"/>
        <w:rPr>
          <w:rFonts w:asciiTheme="minorEastAsia" w:hAnsiTheme="minorEastAsia" w:eastAsiaTheme="minorEastAsia"/>
          <w:b/>
          <w:sz w:val="32"/>
          <w:szCs w:val="32"/>
        </w:rPr>
      </w:pPr>
      <w:r>
        <w:rPr>
          <w:rFonts w:hint="eastAsia" w:ascii="楷体" w:hAnsi="楷体" w:eastAsia="楷体" w:cs="楷体"/>
          <w:b w:val="false"/>
          <w:bCs/>
          <w:sz w:val="32"/>
          <w:szCs w:val="32"/>
        </w:rPr>
        <w:t>（一）“三公”经费财政拨款支出决算总体情况说明</w:t>
      </w:r>
    </w:p>
    <w:p>
      <w:pPr>
        <w:pStyle w:val="6"/>
        <w:keepNext w:val="false"/>
        <w:keepLines w:val="false"/>
        <w:pageBreakBefore w:val="false"/>
        <w:widowControl w:val="false"/>
        <w:kinsoku/>
        <w:wordWrap/>
        <w:overflowPunct/>
        <w:topLinePunct w:val="false"/>
        <w:bidi w:val="false"/>
        <w:snapToGrid/>
        <w:spacing w:line="60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“三公”经费财政拨款支出预算为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由于分母金额为0，无法计算百分比</w:t>
      </w:r>
      <w:r>
        <w:rPr>
          <w:rFonts w:hint="eastAsia" w:ascii="仿宋_GB2312" w:hAnsi="仿宋_GB2312" w:eastAsia="仿宋_GB2312" w:cs="仿宋_GB2312"/>
          <w:sz w:val="32"/>
          <w:szCs w:val="32"/>
        </w:rPr>
        <w:t>，其中：</w:t>
      </w:r>
    </w:p>
    <w:p>
      <w:pPr>
        <w:pStyle w:val="6"/>
        <w:keepNext w:val="false"/>
        <w:keepLines w:val="false"/>
        <w:pageBreakBefore w:val="false"/>
        <w:widowControl w:val="false"/>
        <w:kinsoku/>
        <w:wordWrap/>
        <w:overflowPunct/>
        <w:topLinePunct w:val="false"/>
        <w:bidi w:val="false"/>
        <w:snapToGrid/>
        <w:spacing w:line="60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因公出国（境）费支出预算为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由于分母金额为0，无法计算百分比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决算数与预算数一致，我单位严格按预算执行</w:t>
      </w:r>
      <w:r>
        <w:rPr>
          <w:rFonts w:hint="eastAsia" w:ascii="仿宋_GB2312" w:hAnsi="仿宋_GB2312" w:eastAsia="仿宋_GB2312" w:cs="仿宋_GB2312"/>
          <w:sz w:val="32"/>
          <w:szCs w:val="32"/>
        </w:rPr>
        <w:t>，与上年相比</w:t>
      </w:r>
      <w:r>
        <w:rPr>
          <w:rFonts w:hint="eastAsia" w:ascii="仿宋_GB2312" w:hAnsi="仿宋_GB2312" w:eastAsia="仿宋_GB2312" w:cs="仿宋_GB2312"/>
          <w:sz w:val="32"/>
          <w:szCs w:val="32"/>
          <w:lang w:val="en-US" w:eastAsia="zh-CN"/>
        </w:rPr>
        <w:t>持平。</w:t>
      </w:r>
    </w:p>
    <w:p>
      <w:pPr>
        <w:pStyle w:val="6"/>
        <w:keepNext w:val="false"/>
        <w:keepLines w:val="false"/>
        <w:pageBreakBefore w:val="false"/>
        <w:widowControl w:val="false"/>
        <w:kinsoku/>
        <w:wordWrap/>
        <w:overflowPunct/>
        <w:topLinePunct w:val="false"/>
        <w:bidi w:val="false"/>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公务接待费支出预算为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由于分母金额为0，无法计算百分比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决算数与预算数一致，我单位严格按预算执行</w:t>
      </w:r>
      <w:r>
        <w:rPr>
          <w:rFonts w:hint="eastAsia" w:ascii="仿宋_GB2312" w:hAnsi="仿宋_GB2312" w:eastAsia="仿宋_GB2312" w:cs="仿宋_GB2312"/>
          <w:sz w:val="32"/>
          <w:szCs w:val="32"/>
        </w:rPr>
        <w:t>，与上年相比</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w:t>
      </w:r>
    </w:p>
    <w:p>
      <w:pPr>
        <w:keepNext w:val="false"/>
        <w:keepLines w:val="false"/>
        <w:pageBreakBefore w:val="false"/>
        <w:widowControl w:val="false"/>
        <w:kinsoku/>
        <w:wordWrap/>
        <w:overflowPunct/>
        <w:topLinePunct w:val="false"/>
        <w:autoSpaceDE/>
        <w:autoSpaceDN/>
        <w:bidi w:val="false"/>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公务用车购置费支出预算为0万元，支出决算为0万元，由于分母金额为0，无法计算百分比，决算数与预算数一致，我单位严格按预算执行，与上年相比持平。</w:t>
      </w:r>
    </w:p>
    <w:p>
      <w:pPr>
        <w:keepNext w:val="false"/>
        <w:keepLines w:val="false"/>
        <w:pageBreakBefore w:val="false"/>
        <w:widowControl w:val="false"/>
        <w:kinsoku/>
        <w:wordWrap/>
        <w:overflowPunct/>
        <w:topLinePunct w:val="false"/>
        <w:autoSpaceDE/>
        <w:autoSpaceDN/>
        <w:bidi w:val="false"/>
        <w:adjustRightInd/>
        <w:snapToGrid/>
        <w:spacing w:line="600" w:lineRule="exact"/>
        <w:ind w:firstLine="640" w:firstLineChars="200"/>
        <w:jc w:val="left"/>
        <w:textAlignment w:val="auto"/>
        <w:rPr>
          <w:rFonts w:hint="eastAsia" w:cs="黑体" w:asciiTheme="minorEastAsia" w:hAnsiTheme="minorEastAsia" w:eastAsiaTheme="minorEastAsia"/>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公务用车运行维护费支出预算为0万元，支出决算为0万元，由于分母金额为0，无法计算百分比，决算数与预算数一致，我单位严格按预算执行，与上年相比持平。</w:t>
      </w:r>
    </w:p>
    <w:p>
      <w:pPr>
        <w:pStyle w:val="6"/>
        <w:outlineLvl w:val="1"/>
        <w:rPr>
          <w:rFonts w:hint="eastAsia" w:asciiTheme="minorEastAsia" w:hAnsiTheme="minorEastAsia" w:eastAsiaTheme="minorEastAsia"/>
          <w:b/>
          <w:sz w:val="32"/>
          <w:szCs w:val="32"/>
          <w:lang w:eastAsia="zh-CN"/>
        </w:rPr>
      </w:pPr>
      <w:r>
        <w:rPr>
          <w:rFonts w:hint="eastAsia" w:ascii="楷体" w:hAnsi="楷体" w:eastAsia="楷体" w:cs="楷体"/>
          <w:b w:val="false"/>
          <w:bCs/>
          <w:sz w:val="32"/>
          <w:szCs w:val="32"/>
        </w:rPr>
        <w:t>（二）“三公”经费财政拨款支出决算具体情况说明</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年度“三公”经费财政拨款支出决算中，公务接待费支出决算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由于分母为0，无法计算百分比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由于分母为0，无法计算百分比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公务用车购置费及运行维护费支出决算</w:t>
      </w:r>
      <w:r>
        <w:rPr>
          <w:rFonts w:hint="eastAsia" w:ascii="仿宋_GB2312" w:hAnsi="仿宋_GB2312" w:eastAsia="仿宋_GB2312" w:cs="仿宋_GB2312"/>
          <w:color w:val="000000"/>
          <w:kern w:val="0"/>
          <w:sz w:val="32"/>
          <w:szCs w:val="32"/>
          <w:lang w:val="en-US" w:eastAsia="zh-CN" w:bidi="ar-SA"/>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由于分母为0，无法计算百分比</w:t>
      </w:r>
      <w:bookmarkStart w:name="_GoBack" w:id="0"/>
      <w:bookmarkEnd w:id="0"/>
      <w:r>
        <w:rPr>
          <w:rFonts w:hint="eastAsia" w:ascii="仿宋_GB2312" w:hAnsi="仿宋_GB2312" w:eastAsia="仿宋_GB2312" w:cs="仿宋_GB2312"/>
          <w:sz w:val="32"/>
          <w:szCs w:val="32"/>
        </w:rPr>
        <w:t>。其中：</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1、因公出国（境）费支出决算为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万元，全年安排因公出国（境）团组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我单位2022年度无因公出国（境）费支出。</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万元，全年共接待来访团组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val="en-US" w:eastAsia="zh-CN"/>
        </w:rPr>
        <w:t>我单位2022年度无公务接待费支出</w:t>
      </w:r>
      <w:r>
        <w:rPr>
          <w:rFonts w:hint="eastAsia" w:ascii="仿宋_GB2312" w:hAnsi="仿宋_GB2312" w:eastAsia="仿宋_GB2312" w:cs="仿宋_GB2312"/>
          <w:sz w:val="32"/>
          <w:szCs w:val="32"/>
        </w:rPr>
        <w:t>。</w:t>
      </w:r>
    </w:p>
    <w:p>
      <w:pPr>
        <w:pStyle w:val="6"/>
        <w:keepNext w:val="false"/>
        <w:keepLines w:val="false"/>
        <w:pageBreakBefore w:val="false"/>
        <w:widowControl w:val="false"/>
        <w:kinsoku/>
        <w:wordWrap/>
        <w:overflowPunct/>
        <w:topLinePunct w:val="false"/>
        <w:autoSpaceDE w:val="false"/>
        <w:autoSpaceDN w:val="false"/>
        <w:bidi w:val="false"/>
        <w:adjustRightInd w:val="false"/>
        <w:snapToGrid/>
        <w:spacing w:line="600" w:lineRule="exact"/>
        <w:ind w:firstLine="640" w:firstLineChars="200"/>
        <w:textAlignment w:val="auto"/>
        <w:rPr>
          <w:rFonts w:hint="eastAsia" w:asciiTheme="minorEastAsia" w:hAnsiTheme="minorEastAsia" w:eastAsiaTheme="minorEastAsia"/>
          <w:sz w:val="32"/>
          <w:szCs w:val="32"/>
        </w:rPr>
      </w:pPr>
      <w:r>
        <w:rPr>
          <w:rFonts w:hint="eastAsia" w:ascii="仿宋_GB2312" w:hAnsi="仿宋_GB2312" w:eastAsia="仿宋_GB2312" w:cs="仿宋_GB2312"/>
          <w:color w:val="000000"/>
          <w:kern w:val="0"/>
          <w:sz w:val="32"/>
          <w:szCs w:val="32"/>
          <w:lang w:val="en-US" w:eastAsia="zh-CN" w:bidi="ar-SA"/>
        </w:rPr>
        <w:t>3、公务用车购置费及运行维护费支出决算为0万元，其中：公务用车购置费0万元；公务用车运行维护费0万元，截止2022年12月31日，我单位开支财政拨款的公务用车保有量为1辆。</w:t>
      </w:r>
    </w:p>
    <w:p>
      <w:pPr>
        <w:pStyle w:val="6"/>
        <w:outlineLvl w:val="0"/>
        <w:rPr>
          <w:rFonts w:hint="eastAsia" w:hAnsi="黑体"/>
          <w:b/>
          <w:sz w:val="32"/>
          <w:szCs w:val="32"/>
        </w:rPr>
      </w:pPr>
      <w:r>
        <w:rPr>
          <w:rFonts w:hint="eastAsia" w:hAnsi="黑体"/>
          <w:b w:val="false"/>
          <w:bCs/>
          <w:sz w:val="32"/>
          <w:szCs w:val="32"/>
        </w:rPr>
        <w:t>八、政府性基金预算收入支出决算情况</w:t>
      </w:r>
    </w:p>
    <w:p>
      <w:pPr>
        <w:pStyle w:val="6"/>
        <w:ind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本单位无政府性基金收支。</w:t>
      </w:r>
    </w:p>
    <w:p>
      <w:pPr>
        <w:pStyle w:val="6"/>
        <w:outlineLvl w:val="0"/>
        <w:rPr>
          <w:rFonts w:hint="eastAsia" w:hAnsi="黑体"/>
          <w:b/>
          <w:sz w:val="32"/>
          <w:szCs w:val="32"/>
          <w:lang w:val="en-US" w:eastAsia="zh-CN"/>
        </w:rPr>
      </w:pPr>
      <w:r>
        <w:rPr>
          <w:rFonts w:hint="eastAsia" w:hAnsi="黑体"/>
          <w:b w:val="false"/>
          <w:bCs/>
          <w:sz w:val="32"/>
          <w:szCs w:val="32"/>
          <w:lang w:val="en-US" w:eastAsia="zh-CN"/>
        </w:rPr>
        <w:t>九、关于机关运行经费支出说明</w:t>
      </w:r>
    </w:p>
    <w:p>
      <w:pPr>
        <w:pStyle w:val="6"/>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2022年度机关运行经费支出0万元，比上年决算数持平。</w:t>
      </w:r>
    </w:p>
    <w:p>
      <w:pPr>
        <w:pStyle w:val="6"/>
        <w:outlineLvl w:val="0"/>
        <w:rPr>
          <w:rFonts w:hint="eastAsia" w:hAnsi="黑体"/>
          <w:b/>
          <w:sz w:val="32"/>
          <w:szCs w:val="32"/>
          <w:lang w:eastAsia="zh-CN"/>
        </w:rPr>
      </w:pPr>
      <w:r>
        <w:rPr>
          <w:rFonts w:hint="eastAsia" w:hAnsi="黑体"/>
          <w:b w:val="false"/>
          <w:bCs/>
          <w:sz w:val="32"/>
          <w:szCs w:val="32"/>
        </w:rPr>
        <w:t>十、一般性支出情况</w:t>
      </w:r>
      <w:r>
        <w:rPr>
          <w:rFonts w:hint="eastAsia" w:hAnsi="黑体"/>
          <w:b w:val="false"/>
          <w:bCs/>
          <w:sz w:val="32"/>
          <w:szCs w:val="32"/>
          <w:lang w:eastAsia="zh-CN"/>
        </w:rPr>
        <w:t>说明</w:t>
      </w:r>
    </w:p>
    <w:p>
      <w:pPr>
        <w:pStyle w:val="6"/>
        <w:ind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2022年本部门开支会议费0万元；开支培训费0万元；未举办节庆、晚会、论坛、赛事活动。</w:t>
      </w:r>
    </w:p>
    <w:p>
      <w:pPr>
        <w:pStyle w:val="6"/>
        <w:outlineLvl w:val="0"/>
        <w:rPr>
          <w:rFonts w:hint="default" w:hAnsi="黑体"/>
          <w:b/>
          <w:sz w:val="32"/>
          <w:szCs w:val="32"/>
          <w:lang w:val="en-US"/>
        </w:rPr>
      </w:pPr>
      <w:r>
        <w:rPr>
          <w:rFonts w:hint="eastAsia" w:hAnsi="黑体"/>
          <w:b w:val="false"/>
          <w:bCs/>
          <w:sz w:val="32"/>
          <w:szCs w:val="32"/>
        </w:rPr>
        <w:t>十</w:t>
      </w:r>
      <w:r>
        <w:rPr>
          <w:rFonts w:hint="eastAsia" w:hAnsi="黑体"/>
          <w:b w:val="false"/>
          <w:bCs/>
          <w:sz w:val="32"/>
          <w:szCs w:val="32"/>
          <w:lang w:val="en-US" w:eastAsia="zh-CN"/>
        </w:rPr>
        <w:t>一</w:t>
      </w:r>
      <w:r>
        <w:rPr>
          <w:rFonts w:hint="eastAsia" w:hAnsi="黑体"/>
          <w:b w:val="false"/>
          <w:bCs/>
          <w:sz w:val="32"/>
          <w:szCs w:val="32"/>
        </w:rPr>
        <w:t>、</w:t>
      </w:r>
      <w:r>
        <w:rPr>
          <w:rFonts w:hint="eastAsia" w:hAnsi="黑体"/>
          <w:b w:val="false"/>
          <w:bCs/>
          <w:sz w:val="32"/>
          <w:szCs w:val="32"/>
          <w:lang w:val="en-US" w:eastAsia="zh-CN"/>
        </w:rPr>
        <w:t>关于</w:t>
      </w:r>
      <w:r>
        <w:rPr>
          <w:rFonts w:hint="eastAsia" w:hAnsi="黑体"/>
          <w:b w:val="false"/>
          <w:bCs/>
          <w:sz w:val="32"/>
          <w:szCs w:val="32"/>
        </w:rPr>
        <w:t>政府采购支出说明</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本部门2022年度政府采购支出总额0万元，其中：政府采购货物支出0万元、政府采购工程支出0万元、政府采购服务支出0万元。授予中小企业合同金额0万元，由于分母为0，无法计算百分比，其中：授予小微企业合同金额0万元，由于分母为0，无法计算百分比；货物采购授予中小企业合同金额0万元，由于分母为0，无法计算百分比，工程采购授予中小企业合同金额0万元，由于分母为0，无法计算百分比，服务采购授予中小企业合同金额0万元，由于分母为0，无法计算百分比。</w:t>
      </w:r>
    </w:p>
    <w:p>
      <w:pPr>
        <w:pStyle w:val="6"/>
        <w:outlineLvl w:val="0"/>
        <w:rPr>
          <w:rFonts w:hint="eastAsia" w:hAnsi="黑体"/>
          <w:b w:val="false"/>
          <w:bCs/>
          <w:sz w:val="32"/>
          <w:szCs w:val="32"/>
        </w:rPr>
      </w:pPr>
      <w:r>
        <w:rPr>
          <w:rFonts w:hint="eastAsia" w:hAnsi="黑体"/>
          <w:b w:val="false"/>
          <w:bCs/>
          <w:sz w:val="32"/>
          <w:szCs w:val="32"/>
        </w:rPr>
        <w:t>十</w:t>
      </w:r>
      <w:r>
        <w:rPr>
          <w:rFonts w:hint="eastAsia" w:hAnsi="黑体"/>
          <w:b w:val="false"/>
          <w:bCs/>
          <w:sz w:val="32"/>
          <w:szCs w:val="32"/>
          <w:lang w:val="en-US" w:eastAsia="zh-CN"/>
        </w:rPr>
        <w:t>二</w:t>
      </w:r>
      <w:r>
        <w:rPr>
          <w:rFonts w:hint="eastAsia" w:hAnsi="黑体"/>
          <w:b w:val="false"/>
          <w:bCs/>
          <w:sz w:val="32"/>
          <w:szCs w:val="32"/>
        </w:rPr>
        <w:t>、</w:t>
      </w:r>
      <w:r>
        <w:rPr>
          <w:rFonts w:hint="eastAsia" w:hAnsi="黑体"/>
          <w:b w:val="false"/>
          <w:bCs/>
          <w:sz w:val="32"/>
          <w:szCs w:val="32"/>
          <w:lang w:val="en-US" w:eastAsia="zh-CN"/>
        </w:rPr>
        <w:t>关于</w:t>
      </w:r>
      <w:r>
        <w:rPr>
          <w:rFonts w:hint="eastAsia" w:hAnsi="黑体"/>
          <w:b w:val="false"/>
          <w:bCs/>
          <w:sz w:val="32"/>
          <w:szCs w:val="32"/>
        </w:rPr>
        <w:t>国有资产占用情况说明</w:t>
      </w:r>
    </w:p>
    <w:p>
      <w:pPr>
        <w:pStyle w:val="6"/>
        <w:ind w:firstLine="640" w:firstLineChars="200"/>
        <w:rPr>
          <w:rFonts w:asciiTheme="minorEastAsia" w:hAnsiTheme="minorEastAsia" w:eastAsiaTheme="minorEastAsia"/>
          <w:sz w:val="32"/>
          <w:szCs w:val="32"/>
        </w:rPr>
      </w:pPr>
      <w:r>
        <w:rPr>
          <w:rFonts w:hint="eastAsia" w:ascii="仿宋_GB2312" w:hAnsi="仿宋_GB2312" w:eastAsia="仿宋_GB2312" w:cs="仿宋_GB2312"/>
          <w:color w:val="000000"/>
          <w:kern w:val="0"/>
          <w:sz w:val="32"/>
          <w:szCs w:val="32"/>
          <w:lang w:val="en-US" w:eastAsia="zh-CN" w:bidi="ar-SA"/>
        </w:rPr>
        <w:t>截至2022年12月31日，本部门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6"/>
        <w:outlineLvl w:val="0"/>
        <w:rPr>
          <w:rFonts w:hint="eastAsia" w:hAnsi="黑体"/>
          <w:b/>
          <w:sz w:val="32"/>
          <w:szCs w:val="32"/>
        </w:rPr>
      </w:pPr>
      <w:r>
        <w:rPr>
          <w:rFonts w:hint="eastAsia" w:hAnsi="黑体"/>
          <w:b w:val="false"/>
          <w:bCs/>
          <w:sz w:val="32"/>
          <w:szCs w:val="32"/>
        </w:rPr>
        <w:t>十</w:t>
      </w:r>
      <w:r>
        <w:rPr>
          <w:rFonts w:hint="eastAsia" w:hAnsi="黑体"/>
          <w:b w:val="false"/>
          <w:bCs/>
          <w:sz w:val="32"/>
          <w:szCs w:val="32"/>
          <w:lang w:val="en-US" w:eastAsia="zh-CN"/>
        </w:rPr>
        <w:t>三</w:t>
      </w:r>
      <w:r>
        <w:rPr>
          <w:rFonts w:hint="eastAsia" w:hAnsi="黑体"/>
          <w:b w:val="false"/>
          <w:bCs/>
          <w:sz w:val="32"/>
          <w:szCs w:val="32"/>
        </w:rPr>
        <w:t>、2022年度预算绩效情况说明</w:t>
      </w:r>
    </w:p>
    <w:p>
      <w:pPr>
        <w:pStyle w:val="6"/>
        <w:rPr>
          <w:rFonts w:hint="default" w:ascii="仿宋_GB2312" w:hAnsi="仿宋_GB2312" w:eastAsia="仿宋_GB2312" w:cs="仿宋_GB2312"/>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（一）部门整体支出绩效情况</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根据预算绩效管理要求，我部门组织对2022 年度一般公共预算项目支出全面开展绩效自评，其中，一级项目0个，二级项目0 个，共涉及资金0万元，占一般公共预算项目支出总额的0。全年无政府性基金预算项目。全年无国有资本经营预算项目。</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组织对“2022年动物防疫专项工作经费”等1个项目开展了部门评价，涉及一般公共预算支出95万元，政府性基金预算支出0 万元，国有资本经营预算支出0 万元。从评价情况来看，“2022年动物防疫工作专项经费”项目完成良好，全年动物防疫工作取得良好成绩，全年全区未发生一起重大动物疫情，未出现一起动物卫生公共安全事件，确保全区动物产品质量安全，确保了百姓公共食品安全。</w:t>
      </w:r>
    </w:p>
    <w:p>
      <w:pPr>
        <w:pStyle w:val="6"/>
        <w:rPr>
          <w:rFonts w:hint="default" w:ascii="仿宋_GB2312" w:hAnsi="仿宋_GB2312" w:eastAsia="仿宋_GB2312" w:cs="仿宋_GB2312"/>
          <w:color w:val="000000"/>
          <w:kern w:val="0"/>
          <w:sz w:val="32"/>
          <w:szCs w:val="32"/>
          <w:lang w:val="en-US" w:eastAsia="zh-CN" w:bidi="ar-SA"/>
        </w:rPr>
      </w:pPr>
      <w:r>
        <w:rPr>
          <w:rFonts w:hint="eastAsia" w:ascii="楷体" w:hAnsi="楷体" w:eastAsia="楷体" w:cs="楷体"/>
          <w:color w:val="000000"/>
          <w:kern w:val="0"/>
          <w:sz w:val="32"/>
          <w:szCs w:val="32"/>
          <w:lang w:val="en-US" w:eastAsia="zh-CN" w:bidi="ar-SA"/>
        </w:rPr>
        <w:t>（二）存在的问题及原因分析</w:t>
      </w:r>
    </w:p>
    <w:p>
      <w:pPr>
        <w:pStyle w:val="6"/>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无。</w:t>
      </w: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outlineLvl w:val="0"/>
        <w:rPr>
          <w:rFonts w:ascii="黑体" w:eastAsia="黑体" w:cs="黑体"/>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pStyle w:val="6"/>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(一)财政拨款收入：指财政当年拨付的资金。包括一般公共预算财政拨款和政府性基金财政拨款。</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(二)上级补助收入：指事业单位从主管部门和上级单位取得的非财政补助收入。</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(三)事业收入：指事业单位开展专业业务活动及辅助活动所取得的收入。</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(四)经营收入：指事业单位在专业业务活动及其辅助活动之外开展非独立核算经营活动取得的收入。</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(五)附属单位上缴收入：指事业单位附属独立核算单位按照有关规定上缴的收入。</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(六)其他收入：指除上述“财政拨款收入”、“事业收入”、“经营收入”等以外的收入。</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七)用事业基金弥补收支差额：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(八)年初结转和结余：指以前年度尚未完成、结转到本年按有关规定继续使用的资金。</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(九)结余分配：指事业单位按规定从非财政补助结余中分配的事业基金和职工福利基金等。</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(十)年末结转和结余：指本年度或以前年度预算安排、因客观条件发生变化无法按原计划实施，需要延迟到以后年度按有关规定继续使用的资金。</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(十一)基本支出：指为保障机构正常运转、完成日常工作任务而发生的人员支出和公用支出。</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(十二)项目支出：指在基本支出之外为完成特定行政任务和事业发展目标所发生的支出。</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(十三)经营支出：指事业单位在专业业务活动及其辅助活动之外开展非独立核算经营活动所发生的支出。</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十四)“三公”经费：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十五)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
      </w:r>
    </w:p>
    <w:p>
      <w:pPr>
        <w:rPr>
          <w:sz w:val="72"/>
          <w:szCs w:val="72"/>
        </w:rPr>
      </w:pPr>
      <w:r>
        <w:rPr>
          <w:sz w:val="72"/>
          <w:szCs w:val="72"/>
        </w:rPr>
        <w:br w:type="page"/>
      </w:r>
    </w:p>
    <w:p>
      <w:pPr>
        <w:pStyle w:val="6"/>
        <w:jc w:val="both"/>
        <w:rPr>
          <w:rFonts w:hint="eastAsia"/>
          <w:sz w:val="72"/>
          <w:szCs w:val="72"/>
        </w:rPr>
      </w:pPr>
    </w:p>
    <w:p>
      <w:pPr>
        <w:pStyle w:val="6"/>
        <w:jc w:val="both"/>
        <w:rPr>
          <w:rFonts w:hint="eastAsia"/>
          <w:sz w:val="72"/>
          <w:szCs w:val="72"/>
        </w:rPr>
      </w:pPr>
    </w:p>
    <w:p>
      <w:pPr>
        <w:pStyle w:val="6"/>
        <w:jc w:val="both"/>
        <w:rPr>
          <w:rFonts w:hint="eastAsia"/>
          <w:sz w:val="72"/>
          <w:szCs w:val="72"/>
        </w:rPr>
      </w:pPr>
    </w:p>
    <w:p>
      <w:pPr>
        <w:pStyle w:val="6"/>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第五部分</w:t>
      </w:r>
    </w:p>
    <w:p>
      <w:pPr>
        <w:jc w:val="center"/>
        <w:rPr>
          <w:rFonts w:hint="eastAsia" w:ascii="方正小标宋_GBK" w:hAnsi="方正小标宋_GBK" w:eastAsia="方正小标宋_GBK" w:cs="方正小标宋_GBK"/>
          <w:color w:val="000000"/>
          <w:kern w:val="0"/>
          <w:sz w:val="84"/>
          <w:szCs w:val="84"/>
        </w:rPr>
      </w:pPr>
    </w:p>
    <w:p>
      <w:pPr>
        <w:jc w:val="center"/>
        <w:outlineLvl w:val="0"/>
        <w:rPr>
          <w:rFonts w:hint="eastAsia" w:ascii="黑体" w:eastAsia="黑体" w:cs="黑体"/>
          <w:color w:val="000000"/>
          <w:kern w:val="0"/>
          <w:sz w:val="70"/>
          <w:szCs w:val="70"/>
        </w:rPr>
      </w:pPr>
      <w:r>
        <w:rPr>
          <w:rFonts w:hint="eastAsia" w:ascii="方正小标宋_GBK" w:hAnsi="方正小标宋_GBK" w:eastAsia="方正小标宋_GBK" w:cs="方正小标宋_GBK"/>
          <w:color w:val="000000"/>
          <w:kern w:val="0"/>
          <w:sz w:val="84"/>
          <w:szCs w:val="84"/>
        </w:rPr>
        <w:t>附件</w:t>
      </w:r>
    </w:p>
    <w:p>
      <w:pPr>
        <w:rPr>
          <w:rFonts w:hint="eastAsia" w:ascii="黑体" w:eastAsia="黑体" w:cs="黑体"/>
          <w:color w:val="000000"/>
          <w:kern w:val="0"/>
          <w:sz w:val="70"/>
          <w:szCs w:val="70"/>
        </w:rPr>
      </w:pPr>
      <w:r>
        <w:rPr>
          <w:rFonts w:hint="eastAsia" w:ascii="黑体" w:eastAsia="黑体" w:cs="黑体"/>
          <w:color w:val="000000"/>
          <w:kern w:val="0"/>
          <w:sz w:val="70"/>
          <w:szCs w:val="70"/>
        </w:rPr>
        <w:br w:type="page"/>
      </w:r>
    </w:p>
    <w:p>
      <w:pPr>
        <w:ind w:firstLine="640"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1、2022年度长沙市芙蓉区动物疫病预防控制中心部门决算公开表格</w:t>
      </w:r>
    </w:p>
    <w:p>
      <w:pPr>
        <w:pStyle w:val="5"/>
        <w:ind w:firstLine="640" w:firstLineChars="200"/>
        <w:rPr>
          <w:rFonts w:ascii="仿宋_GB2312" w:hAnsi="仿宋_GB2312" w:eastAsia="仿宋_GB2312"/>
          <w:sz w:val="32"/>
          <w:szCs w:val="32"/>
        </w:rPr>
      </w:pPr>
      <w:r>
        <w:rPr>
          <w:rFonts w:hint="eastAsia" w:ascii="仿宋_GB2312" w:hAnsi="仿宋_GB2312" w:eastAsia="仿宋_GB2312"/>
          <w:sz w:val="32"/>
          <w:szCs w:val="32"/>
          <w:lang w:val="en-US" w:eastAsia="zh-CN"/>
        </w:rPr>
        <w:t>2、2022年度长沙市芙蓉区动物疫病预防控制中心部门整体支出绩效评价报告</w:t>
      </w:r>
    </w:p>
    <w:p>
      <w:pPr>
        <w:rPr>
          <w:rFonts w:hint="eastAsia" w:ascii="仿宋_GB2312" w:hAnsi="仿宋_GB2312" w:eastAsia="仿宋_GB2312" w:cs="仿宋_GB2312"/>
          <w:sz w:val="32"/>
          <w:szCs w:val="32"/>
        </w:rPr>
      </w:pPr>
    </w:p>
    <w:p>
      <w:pPr>
        <w:pStyle w:val="6"/>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长沙市芙蓉区动物疫病预防控制中心</w:t>
      </w:r>
    </w:p>
    <w:p>
      <w:pPr>
        <w:pStyle w:val="6"/>
        <w:ind w:firstLine="640" w:firstLineChars="200"/>
        <w:jc w:val="right"/>
        <w:rPr>
          <w:rFonts w:hint="default"/>
          <w:sz w:val="72"/>
          <w:szCs w:val="72"/>
          <w:lang w:val="en-US" w:eastAsia="zh-CN"/>
        </w:rPr>
      </w:pPr>
      <w:r>
        <w:rPr>
          <w:rFonts w:hint="eastAsia" w:ascii="仿宋_GB2312" w:hAnsi="仿宋_GB2312" w:eastAsia="仿宋_GB2312" w:cs="仿宋_GB2312"/>
          <w:sz w:val="32"/>
          <w:szCs w:val="32"/>
          <w:lang w:val="en-US" w:eastAsia="zh-CN"/>
        </w:rPr>
        <w:t>2023年10月24日</w:t>
      </w:r>
    </w:p>
    <w:p>
      <w:pPr>
        <w:ind w:firstLine="420" w:firstLineChars="0"/>
        <w:rPr>
          <w:b/>
          <w:sz w:val="36"/>
          <w:szCs w:val="28"/>
        </w:rPr>
      </w:pPr>
    </w:p>
    <w:p>
      <w:pPr>
        <w:pStyle w:val="6"/>
        <w:rPr>
          <w:rFonts w:hAnsi="黑体"/>
          <w:b/>
          <w:sz w:val="32"/>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NzM2OTIwYTkzZjJjOWFmYTQ3OTk1Njg1ZTQyNWUifQ=="/>
  </w:docVars>
  <w:rsids>
    <w:rsidRoot w:val="60EF7954"/>
    <w:rsid w:val="0017318F"/>
    <w:rsid w:val="0019508D"/>
    <w:rsid w:val="00293F03"/>
    <w:rsid w:val="0055574E"/>
    <w:rsid w:val="007A6F63"/>
    <w:rsid w:val="00C44682"/>
    <w:rsid w:val="00DA3EA5"/>
    <w:rsid w:val="013E53A3"/>
    <w:rsid w:val="014A4B87"/>
    <w:rsid w:val="01DD1B8F"/>
    <w:rsid w:val="01DD59FB"/>
    <w:rsid w:val="01E4322D"/>
    <w:rsid w:val="023A2E4D"/>
    <w:rsid w:val="024A4A27"/>
    <w:rsid w:val="02672D95"/>
    <w:rsid w:val="029777EF"/>
    <w:rsid w:val="02C07E7A"/>
    <w:rsid w:val="02DE04AC"/>
    <w:rsid w:val="02F56D74"/>
    <w:rsid w:val="032D30FE"/>
    <w:rsid w:val="034D6BB0"/>
    <w:rsid w:val="036379FD"/>
    <w:rsid w:val="03662AD9"/>
    <w:rsid w:val="040E27E3"/>
    <w:rsid w:val="04117CCA"/>
    <w:rsid w:val="04245B63"/>
    <w:rsid w:val="044B59C0"/>
    <w:rsid w:val="046917C8"/>
    <w:rsid w:val="04954A53"/>
    <w:rsid w:val="04BD7657"/>
    <w:rsid w:val="04C616B0"/>
    <w:rsid w:val="04FA6910"/>
    <w:rsid w:val="053022E6"/>
    <w:rsid w:val="053C512E"/>
    <w:rsid w:val="05485881"/>
    <w:rsid w:val="05545C1C"/>
    <w:rsid w:val="0575419C"/>
    <w:rsid w:val="059534E3"/>
    <w:rsid w:val="05B922DB"/>
    <w:rsid w:val="05C375FE"/>
    <w:rsid w:val="05D830A9"/>
    <w:rsid w:val="05DE61E6"/>
    <w:rsid w:val="05E31C54"/>
    <w:rsid w:val="05EA06E6"/>
    <w:rsid w:val="06043E9E"/>
    <w:rsid w:val="060F45F1"/>
    <w:rsid w:val="061D6D0E"/>
    <w:rsid w:val="064C6E52"/>
    <w:rsid w:val="06616D34"/>
    <w:rsid w:val="06962521"/>
    <w:rsid w:val="06D32749"/>
    <w:rsid w:val="06DA075B"/>
    <w:rsid w:val="06FE6B3F"/>
    <w:rsid w:val="07085573"/>
    <w:rsid w:val="074D53D1"/>
    <w:rsid w:val="07571DAC"/>
    <w:rsid w:val="075E75DE"/>
    <w:rsid w:val="078046A1"/>
    <w:rsid w:val="078828AD"/>
    <w:rsid w:val="07B33CCE"/>
    <w:rsid w:val="07C17B6D"/>
    <w:rsid w:val="07FD032B"/>
    <w:rsid w:val="081E4FBF"/>
    <w:rsid w:val="088017D6"/>
    <w:rsid w:val="08835530"/>
    <w:rsid w:val="08A8389B"/>
    <w:rsid w:val="08AD5A13"/>
    <w:rsid w:val="08B1373D"/>
    <w:rsid w:val="08B5322E"/>
    <w:rsid w:val="09436A8B"/>
    <w:rsid w:val="09622C8A"/>
    <w:rsid w:val="097430E9"/>
    <w:rsid w:val="09BA2AC6"/>
    <w:rsid w:val="09BE25B6"/>
    <w:rsid w:val="0A4B01E4"/>
    <w:rsid w:val="0A6A629A"/>
    <w:rsid w:val="0B662F05"/>
    <w:rsid w:val="0B9335CE"/>
    <w:rsid w:val="0C0355A4"/>
    <w:rsid w:val="0C434FF4"/>
    <w:rsid w:val="0C5E519C"/>
    <w:rsid w:val="0C7E602C"/>
    <w:rsid w:val="0C833643"/>
    <w:rsid w:val="0CB11F5E"/>
    <w:rsid w:val="0CC94601"/>
    <w:rsid w:val="0D020A0B"/>
    <w:rsid w:val="0D0E115E"/>
    <w:rsid w:val="0D8458C4"/>
    <w:rsid w:val="0DC43F13"/>
    <w:rsid w:val="0DF906EF"/>
    <w:rsid w:val="0E26161D"/>
    <w:rsid w:val="0E9658AF"/>
    <w:rsid w:val="0EB36461"/>
    <w:rsid w:val="0ECE329B"/>
    <w:rsid w:val="0EEE6A06"/>
    <w:rsid w:val="0F056591"/>
    <w:rsid w:val="0F1D7D7F"/>
    <w:rsid w:val="0F4C5F6E"/>
    <w:rsid w:val="0F621002"/>
    <w:rsid w:val="0FD0658C"/>
    <w:rsid w:val="0FE4264A"/>
    <w:rsid w:val="0FF36C1B"/>
    <w:rsid w:val="0FF7412C"/>
    <w:rsid w:val="102313C5"/>
    <w:rsid w:val="102D2243"/>
    <w:rsid w:val="105570A4"/>
    <w:rsid w:val="10615A49"/>
    <w:rsid w:val="106317C1"/>
    <w:rsid w:val="11164186"/>
    <w:rsid w:val="11274EE5"/>
    <w:rsid w:val="11365128"/>
    <w:rsid w:val="113E3FDC"/>
    <w:rsid w:val="114A472F"/>
    <w:rsid w:val="116C28F7"/>
    <w:rsid w:val="118A3AC3"/>
    <w:rsid w:val="11BA18B5"/>
    <w:rsid w:val="11E857EB"/>
    <w:rsid w:val="12137217"/>
    <w:rsid w:val="12192A7F"/>
    <w:rsid w:val="122E5DFF"/>
    <w:rsid w:val="123220DD"/>
    <w:rsid w:val="12BA7279"/>
    <w:rsid w:val="12D04A92"/>
    <w:rsid w:val="12E070F9"/>
    <w:rsid w:val="131C5699"/>
    <w:rsid w:val="1330494A"/>
    <w:rsid w:val="134C29E0"/>
    <w:rsid w:val="13702B73"/>
    <w:rsid w:val="13A9398F"/>
    <w:rsid w:val="13AF2F6F"/>
    <w:rsid w:val="13E470BD"/>
    <w:rsid w:val="14107EB2"/>
    <w:rsid w:val="1420691B"/>
    <w:rsid w:val="14321BD6"/>
    <w:rsid w:val="14587163"/>
    <w:rsid w:val="14952165"/>
    <w:rsid w:val="14B0355F"/>
    <w:rsid w:val="14C72C6E"/>
    <w:rsid w:val="15115C90"/>
    <w:rsid w:val="152E1EA0"/>
    <w:rsid w:val="15591E18"/>
    <w:rsid w:val="157B135B"/>
    <w:rsid w:val="159D5775"/>
    <w:rsid w:val="15D867AD"/>
    <w:rsid w:val="16184DAE"/>
    <w:rsid w:val="161A0B74"/>
    <w:rsid w:val="16777D74"/>
    <w:rsid w:val="16780E72"/>
    <w:rsid w:val="16A843D2"/>
    <w:rsid w:val="16AE5760"/>
    <w:rsid w:val="16BE1E47"/>
    <w:rsid w:val="16C908AD"/>
    <w:rsid w:val="16D76A65"/>
    <w:rsid w:val="17A27A59"/>
    <w:rsid w:val="17D62347"/>
    <w:rsid w:val="17DA5256"/>
    <w:rsid w:val="1876405C"/>
    <w:rsid w:val="18C9062F"/>
    <w:rsid w:val="18E86D07"/>
    <w:rsid w:val="18F02060"/>
    <w:rsid w:val="19121FD6"/>
    <w:rsid w:val="191775ED"/>
    <w:rsid w:val="192835A8"/>
    <w:rsid w:val="194924B3"/>
    <w:rsid w:val="194D1260"/>
    <w:rsid w:val="195B397D"/>
    <w:rsid w:val="1968609A"/>
    <w:rsid w:val="19B66EB1"/>
    <w:rsid w:val="19CC3623"/>
    <w:rsid w:val="1A0C111B"/>
    <w:rsid w:val="1A3348FA"/>
    <w:rsid w:val="1A393593"/>
    <w:rsid w:val="1A562397"/>
    <w:rsid w:val="1A5B5BFF"/>
    <w:rsid w:val="1A9058A9"/>
    <w:rsid w:val="1AA24DBA"/>
    <w:rsid w:val="1AB762D3"/>
    <w:rsid w:val="1AE70346"/>
    <w:rsid w:val="1AF37BE5"/>
    <w:rsid w:val="1B1E2EB4"/>
    <w:rsid w:val="1B4D4249"/>
    <w:rsid w:val="1BC81072"/>
    <w:rsid w:val="1BD63758"/>
    <w:rsid w:val="1BF6798D"/>
    <w:rsid w:val="1C1D5257"/>
    <w:rsid w:val="1C2E35CB"/>
    <w:rsid w:val="1C865B7A"/>
    <w:rsid w:val="1C8A6F02"/>
    <w:rsid w:val="1CC669C1"/>
    <w:rsid w:val="1CFD2F9D"/>
    <w:rsid w:val="1CFF2872"/>
    <w:rsid w:val="1D0165EA"/>
    <w:rsid w:val="1D4806BC"/>
    <w:rsid w:val="1D484219"/>
    <w:rsid w:val="1D733760"/>
    <w:rsid w:val="1DA82F09"/>
    <w:rsid w:val="1DB4054C"/>
    <w:rsid w:val="1DC37D43"/>
    <w:rsid w:val="1DEB6A56"/>
    <w:rsid w:val="1DFB572F"/>
    <w:rsid w:val="1E2C03C6"/>
    <w:rsid w:val="1E8C2019"/>
    <w:rsid w:val="1EA01E32"/>
    <w:rsid w:val="1EB01FC6"/>
    <w:rsid w:val="1EB12A44"/>
    <w:rsid w:val="1EC27FFB"/>
    <w:rsid w:val="1F073C5F"/>
    <w:rsid w:val="1F130856"/>
    <w:rsid w:val="1F2370F8"/>
    <w:rsid w:val="1F9409C0"/>
    <w:rsid w:val="1FA731F9"/>
    <w:rsid w:val="1FC57DA2"/>
    <w:rsid w:val="2011123A"/>
    <w:rsid w:val="20466B40"/>
    <w:rsid w:val="20983709"/>
    <w:rsid w:val="20AF1E8F"/>
    <w:rsid w:val="20BD6CCC"/>
    <w:rsid w:val="20DB3D0D"/>
    <w:rsid w:val="20FD161C"/>
    <w:rsid w:val="211663DC"/>
    <w:rsid w:val="212E5E1B"/>
    <w:rsid w:val="2149055F"/>
    <w:rsid w:val="21495C49"/>
    <w:rsid w:val="214D6895"/>
    <w:rsid w:val="214E2B5A"/>
    <w:rsid w:val="215E62E1"/>
    <w:rsid w:val="21611750"/>
    <w:rsid w:val="217C6B87"/>
    <w:rsid w:val="219F0AC7"/>
    <w:rsid w:val="21A44145"/>
    <w:rsid w:val="21D6611B"/>
    <w:rsid w:val="21DC2325"/>
    <w:rsid w:val="221E379A"/>
    <w:rsid w:val="22216106"/>
    <w:rsid w:val="226A69DF"/>
    <w:rsid w:val="22AD4B1E"/>
    <w:rsid w:val="22AE59A2"/>
    <w:rsid w:val="22EE7610"/>
    <w:rsid w:val="22F103A5"/>
    <w:rsid w:val="22F92B1F"/>
    <w:rsid w:val="22FA4207"/>
    <w:rsid w:val="23865A9B"/>
    <w:rsid w:val="23AD74CB"/>
    <w:rsid w:val="23C95987"/>
    <w:rsid w:val="242119B2"/>
    <w:rsid w:val="245F009A"/>
    <w:rsid w:val="2480073C"/>
    <w:rsid w:val="249917FE"/>
    <w:rsid w:val="24B85758"/>
    <w:rsid w:val="2500362B"/>
    <w:rsid w:val="25003904"/>
    <w:rsid w:val="25070E5D"/>
    <w:rsid w:val="250C6474"/>
    <w:rsid w:val="250F7D12"/>
    <w:rsid w:val="251B66B7"/>
    <w:rsid w:val="255676EF"/>
    <w:rsid w:val="25643BBA"/>
    <w:rsid w:val="257302A1"/>
    <w:rsid w:val="259B09ED"/>
    <w:rsid w:val="25B45BE8"/>
    <w:rsid w:val="25E847EB"/>
    <w:rsid w:val="26127ABA"/>
    <w:rsid w:val="26E52AD8"/>
    <w:rsid w:val="26FE3B9A"/>
    <w:rsid w:val="2702368A"/>
    <w:rsid w:val="2725381D"/>
    <w:rsid w:val="27334891"/>
    <w:rsid w:val="275B2D9A"/>
    <w:rsid w:val="27861373"/>
    <w:rsid w:val="27895A3F"/>
    <w:rsid w:val="278C73F8"/>
    <w:rsid w:val="279F35CF"/>
    <w:rsid w:val="27B37EDC"/>
    <w:rsid w:val="27F47D69"/>
    <w:rsid w:val="283733D0"/>
    <w:rsid w:val="28384068"/>
    <w:rsid w:val="283F446A"/>
    <w:rsid w:val="287266F4"/>
    <w:rsid w:val="28810F26"/>
    <w:rsid w:val="28A340B7"/>
    <w:rsid w:val="28AB1AFF"/>
    <w:rsid w:val="28F6721F"/>
    <w:rsid w:val="292D6608"/>
    <w:rsid w:val="292F2731"/>
    <w:rsid w:val="29714B65"/>
    <w:rsid w:val="29740F98"/>
    <w:rsid w:val="297D16EE"/>
    <w:rsid w:val="29E63C51"/>
    <w:rsid w:val="29EE6148"/>
    <w:rsid w:val="29FC3DF9"/>
    <w:rsid w:val="2A3E67B6"/>
    <w:rsid w:val="2A5561C7"/>
    <w:rsid w:val="2A754FB7"/>
    <w:rsid w:val="2A8645D2"/>
    <w:rsid w:val="2AB735CA"/>
    <w:rsid w:val="2AF27EBA"/>
    <w:rsid w:val="2B354D70"/>
    <w:rsid w:val="2B4D50F0"/>
    <w:rsid w:val="2B5D006A"/>
    <w:rsid w:val="2B674404"/>
    <w:rsid w:val="2C2954B6"/>
    <w:rsid w:val="2C2D07A6"/>
    <w:rsid w:val="2C770676"/>
    <w:rsid w:val="2C9A25B7"/>
    <w:rsid w:val="2CAF6062"/>
    <w:rsid w:val="2D3D42E3"/>
    <w:rsid w:val="2D720E3E"/>
    <w:rsid w:val="2D8E4BD6"/>
    <w:rsid w:val="2D907DD2"/>
    <w:rsid w:val="2DC82842"/>
    <w:rsid w:val="2DCA0C7A"/>
    <w:rsid w:val="2E5A260E"/>
    <w:rsid w:val="2E8A3D40"/>
    <w:rsid w:val="2EB711FE"/>
    <w:rsid w:val="2EBC6814"/>
    <w:rsid w:val="2EC102CF"/>
    <w:rsid w:val="2ED7364E"/>
    <w:rsid w:val="2EE11904"/>
    <w:rsid w:val="2EE40036"/>
    <w:rsid w:val="2F2513F2"/>
    <w:rsid w:val="2F527179"/>
    <w:rsid w:val="2F784A91"/>
    <w:rsid w:val="2F8161F0"/>
    <w:rsid w:val="2F8310E0"/>
    <w:rsid w:val="2F880DEC"/>
    <w:rsid w:val="2FEA5603"/>
    <w:rsid w:val="302723B3"/>
    <w:rsid w:val="302F076E"/>
    <w:rsid w:val="30542A7D"/>
    <w:rsid w:val="30850E88"/>
    <w:rsid w:val="308B0B94"/>
    <w:rsid w:val="30E97669"/>
    <w:rsid w:val="31246249"/>
    <w:rsid w:val="312D57A8"/>
    <w:rsid w:val="314A66F0"/>
    <w:rsid w:val="316C61B0"/>
    <w:rsid w:val="31A0241D"/>
    <w:rsid w:val="31A67308"/>
    <w:rsid w:val="320220E3"/>
    <w:rsid w:val="321B6668"/>
    <w:rsid w:val="321C75CA"/>
    <w:rsid w:val="32E34825"/>
    <w:rsid w:val="3316226B"/>
    <w:rsid w:val="333544E8"/>
    <w:rsid w:val="33492641"/>
    <w:rsid w:val="33A65CE5"/>
    <w:rsid w:val="33A87367"/>
    <w:rsid w:val="33C10429"/>
    <w:rsid w:val="34367069"/>
    <w:rsid w:val="34AE1C49"/>
    <w:rsid w:val="34C71A6F"/>
    <w:rsid w:val="34CD2C18"/>
    <w:rsid w:val="3500705A"/>
    <w:rsid w:val="355F439E"/>
    <w:rsid w:val="35747E49"/>
    <w:rsid w:val="358B0CEF"/>
    <w:rsid w:val="359F29EC"/>
    <w:rsid w:val="35EF74CF"/>
    <w:rsid w:val="362D1DA6"/>
    <w:rsid w:val="36961802"/>
    <w:rsid w:val="369E0EF6"/>
    <w:rsid w:val="36EB29F0"/>
    <w:rsid w:val="373553B6"/>
    <w:rsid w:val="37425D25"/>
    <w:rsid w:val="374E6478"/>
    <w:rsid w:val="376D0FF4"/>
    <w:rsid w:val="3803470F"/>
    <w:rsid w:val="381F1BC2"/>
    <w:rsid w:val="384A6C3F"/>
    <w:rsid w:val="385775AE"/>
    <w:rsid w:val="387719FE"/>
    <w:rsid w:val="388339D4"/>
    <w:rsid w:val="38961E84"/>
    <w:rsid w:val="389C79D6"/>
    <w:rsid w:val="38F54312"/>
    <w:rsid w:val="38FB43DD"/>
    <w:rsid w:val="39186D3D"/>
    <w:rsid w:val="391A0D07"/>
    <w:rsid w:val="393C6877"/>
    <w:rsid w:val="3971644D"/>
    <w:rsid w:val="39B90520"/>
    <w:rsid w:val="39CB2002"/>
    <w:rsid w:val="39CE1AF2"/>
    <w:rsid w:val="39E82BB3"/>
    <w:rsid w:val="3A465B2C"/>
    <w:rsid w:val="3A5016F0"/>
    <w:rsid w:val="3A6F6E31"/>
    <w:rsid w:val="3A791A5E"/>
    <w:rsid w:val="3A8F302F"/>
    <w:rsid w:val="3AC41F5A"/>
    <w:rsid w:val="3B0A0908"/>
    <w:rsid w:val="3B334302"/>
    <w:rsid w:val="3B500D38"/>
    <w:rsid w:val="3B5B4552"/>
    <w:rsid w:val="3B5E2A01"/>
    <w:rsid w:val="3B6C396A"/>
    <w:rsid w:val="3B824942"/>
    <w:rsid w:val="3C0B363B"/>
    <w:rsid w:val="3C4A1903"/>
    <w:rsid w:val="3C5462DE"/>
    <w:rsid w:val="3C6473E9"/>
    <w:rsid w:val="3C9943D8"/>
    <w:rsid w:val="3D05582A"/>
    <w:rsid w:val="3D265522"/>
    <w:rsid w:val="3DCE3E6E"/>
    <w:rsid w:val="3DE03BA2"/>
    <w:rsid w:val="3E111FAD"/>
    <w:rsid w:val="3E4B7219"/>
    <w:rsid w:val="3E5500EC"/>
    <w:rsid w:val="3E6A7B81"/>
    <w:rsid w:val="3E985397"/>
    <w:rsid w:val="3E9B5F83"/>
    <w:rsid w:val="3EA90437"/>
    <w:rsid w:val="3EAB41B0"/>
    <w:rsid w:val="3EF06066"/>
    <w:rsid w:val="3EF9316D"/>
    <w:rsid w:val="3F6C28B0"/>
    <w:rsid w:val="3F6C393F"/>
    <w:rsid w:val="3FAF8251"/>
    <w:rsid w:val="3FB90157"/>
    <w:rsid w:val="4012178F"/>
    <w:rsid w:val="4073746E"/>
    <w:rsid w:val="40893A08"/>
    <w:rsid w:val="409E221E"/>
    <w:rsid w:val="40A9471F"/>
    <w:rsid w:val="40AB4E52"/>
    <w:rsid w:val="40DA3311"/>
    <w:rsid w:val="40DC68A2"/>
    <w:rsid w:val="40E75FFB"/>
    <w:rsid w:val="40F24318"/>
    <w:rsid w:val="412D5350"/>
    <w:rsid w:val="41354204"/>
    <w:rsid w:val="414508EB"/>
    <w:rsid w:val="416948EA"/>
    <w:rsid w:val="416F2BA3"/>
    <w:rsid w:val="4179477E"/>
    <w:rsid w:val="41801923"/>
    <w:rsid w:val="41B11ADD"/>
    <w:rsid w:val="41B96BE3"/>
    <w:rsid w:val="41C71300"/>
    <w:rsid w:val="41D76A73"/>
    <w:rsid w:val="41DA1FBC"/>
    <w:rsid w:val="420E19DE"/>
    <w:rsid w:val="421D7172"/>
    <w:rsid w:val="42BD411A"/>
    <w:rsid w:val="42D71F16"/>
    <w:rsid w:val="42FC4EC7"/>
    <w:rsid w:val="42FF4ACA"/>
    <w:rsid w:val="430F7403"/>
    <w:rsid w:val="431E13F4"/>
    <w:rsid w:val="437B18E6"/>
    <w:rsid w:val="439C056B"/>
    <w:rsid w:val="43BB6C43"/>
    <w:rsid w:val="44226CC2"/>
    <w:rsid w:val="443B7D84"/>
    <w:rsid w:val="4474559A"/>
    <w:rsid w:val="450665E4"/>
    <w:rsid w:val="45385449"/>
    <w:rsid w:val="454D5FC1"/>
    <w:rsid w:val="45C003F8"/>
    <w:rsid w:val="45D10865"/>
    <w:rsid w:val="45F11042"/>
    <w:rsid w:val="45F34DBA"/>
    <w:rsid w:val="45F4468E"/>
    <w:rsid w:val="461D3BE5"/>
    <w:rsid w:val="464B69A4"/>
    <w:rsid w:val="46933EA7"/>
    <w:rsid w:val="46B1432D"/>
    <w:rsid w:val="46B837C8"/>
    <w:rsid w:val="46CE4DF5"/>
    <w:rsid w:val="46E326E1"/>
    <w:rsid w:val="46E93AC7"/>
    <w:rsid w:val="46E95A67"/>
    <w:rsid w:val="471F1BDF"/>
    <w:rsid w:val="472D60AA"/>
    <w:rsid w:val="47392CA0"/>
    <w:rsid w:val="473D0A98"/>
    <w:rsid w:val="474602AC"/>
    <w:rsid w:val="47590C4D"/>
    <w:rsid w:val="47665118"/>
    <w:rsid w:val="47887784"/>
    <w:rsid w:val="47940560"/>
    <w:rsid w:val="479A3013"/>
    <w:rsid w:val="47E13386"/>
    <w:rsid w:val="47EE2EA3"/>
    <w:rsid w:val="480A63EB"/>
    <w:rsid w:val="48482A6F"/>
    <w:rsid w:val="48862C62"/>
    <w:rsid w:val="489B49AE"/>
    <w:rsid w:val="48F549A5"/>
    <w:rsid w:val="49007C99"/>
    <w:rsid w:val="4909585A"/>
    <w:rsid w:val="491C4628"/>
    <w:rsid w:val="49262DB0"/>
    <w:rsid w:val="49343115"/>
    <w:rsid w:val="49382AE4"/>
    <w:rsid w:val="497004D0"/>
    <w:rsid w:val="49CB71B2"/>
    <w:rsid w:val="49D547D7"/>
    <w:rsid w:val="4A3B4894"/>
    <w:rsid w:val="4A5A24EB"/>
    <w:rsid w:val="4A6C513B"/>
    <w:rsid w:val="4A6F2535"/>
    <w:rsid w:val="4A842484"/>
    <w:rsid w:val="4A91694F"/>
    <w:rsid w:val="4B0233A9"/>
    <w:rsid w:val="4B530E6F"/>
    <w:rsid w:val="4B58289C"/>
    <w:rsid w:val="4B897627"/>
    <w:rsid w:val="4BA17066"/>
    <w:rsid w:val="4BA206E8"/>
    <w:rsid w:val="4BB17450"/>
    <w:rsid w:val="4BC62629"/>
    <w:rsid w:val="4BC8567B"/>
    <w:rsid w:val="4C883D82"/>
    <w:rsid w:val="4CB15087"/>
    <w:rsid w:val="4CB3095A"/>
    <w:rsid w:val="4CBE77A4"/>
    <w:rsid w:val="4D690FE3"/>
    <w:rsid w:val="4D697710"/>
    <w:rsid w:val="4DD86643"/>
    <w:rsid w:val="4E4D5283"/>
    <w:rsid w:val="4E563E50"/>
    <w:rsid w:val="4E5C7274"/>
    <w:rsid w:val="4E9463C0"/>
    <w:rsid w:val="4EFD45B3"/>
    <w:rsid w:val="4F005E52"/>
    <w:rsid w:val="4F0E056F"/>
    <w:rsid w:val="4F172792"/>
    <w:rsid w:val="4F5148FF"/>
    <w:rsid w:val="4F7A20A8"/>
    <w:rsid w:val="4FAD5E6E"/>
    <w:rsid w:val="4FB2658E"/>
    <w:rsid w:val="4FE7272B"/>
    <w:rsid w:val="4FF21C3E"/>
    <w:rsid w:val="4FFF6109"/>
    <w:rsid w:val="5012408F"/>
    <w:rsid w:val="503A35E5"/>
    <w:rsid w:val="50463D38"/>
    <w:rsid w:val="508A631B"/>
    <w:rsid w:val="509176A9"/>
    <w:rsid w:val="50AD025B"/>
    <w:rsid w:val="50B80104"/>
    <w:rsid w:val="50B96C00"/>
    <w:rsid w:val="50DD1B6F"/>
    <w:rsid w:val="51085492"/>
    <w:rsid w:val="510A2FB8"/>
    <w:rsid w:val="516C5A20"/>
    <w:rsid w:val="518A5EA7"/>
    <w:rsid w:val="52750905"/>
    <w:rsid w:val="529214B7"/>
    <w:rsid w:val="52A14401"/>
    <w:rsid w:val="52A35472"/>
    <w:rsid w:val="52E80F98"/>
    <w:rsid w:val="530538EC"/>
    <w:rsid w:val="531B14AC"/>
    <w:rsid w:val="5335798C"/>
    <w:rsid w:val="53746E0E"/>
    <w:rsid w:val="537D37C9"/>
    <w:rsid w:val="53AE2320"/>
    <w:rsid w:val="53B813F1"/>
    <w:rsid w:val="53BD2563"/>
    <w:rsid w:val="53C3212C"/>
    <w:rsid w:val="53C92B62"/>
    <w:rsid w:val="53D855EF"/>
    <w:rsid w:val="53EE096F"/>
    <w:rsid w:val="541A5C08"/>
    <w:rsid w:val="54322F51"/>
    <w:rsid w:val="54362AE0"/>
    <w:rsid w:val="54444A33"/>
    <w:rsid w:val="548E5CAE"/>
    <w:rsid w:val="54992FD0"/>
    <w:rsid w:val="54A87F86"/>
    <w:rsid w:val="54D51B2F"/>
    <w:rsid w:val="54FB1595"/>
    <w:rsid w:val="552A59D6"/>
    <w:rsid w:val="5552317F"/>
    <w:rsid w:val="5560764A"/>
    <w:rsid w:val="5563538C"/>
    <w:rsid w:val="556829A3"/>
    <w:rsid w:val="557F7DAC"/>
    <w:rsid w:val="55943798"/>
    <w:rsid w:val="55E97640"/>
    <w:rsid w:val="56186177"/>
    <w:rsid w:val="562763BA"/>
    <w:rsid w:val="563F0783"/>
    <w:rsid w:val="56464A92"/>
    <w:rsid w:val="565B2262"/>
    <w:rsid w:val="56927CD7"/>
    <w:rsid w:val="56A01DB9"/>
    <w:rsid w:val="56A25A40"/>
    <w:rsid w:val="56AA0DEE"/>
    <w:rsid w:val="570D55B0"/>
    <w:rsid w:val="57216884"/>
    <w:rsid w:val="57254C9B"/>
    <w:rsid w:val="573E2D5A"/>
    <w:rsid w:val="5746735E"/>
    <w:rsid w:val="578E7523"/>
    <w:rsid w:val="57B70A7D"/>
    <w:rsid w:val="57B819BF"/>
    <w:rsid w:val="57E02CC4"/>
    <w:rsid w:val="57E427B4"/>
    <w:rsid w:val="58164938"/>
    <w:rsid w:val="58733B38"/>
    <w:rsid w:val="58A43CF2"/>
    <w:rsid w:val="58B61F51"/>
    <w:rsid w:val="58BE3005"/>
    <w:rsid w:val="58D64481"/>
    <w:rsid w:val="59413C36"/>
    <w:rsid w:val="596A4F3B"/>
    <w:rsid w:val="596B480F"/>
    <w:rsid w:val="599F092A"/>
    <w:rsid w:val="59BB77A0"/>
    <w:rsid w:val="59CC52AE"/>
    <w:rsid w:val="59ED7167"/>
    <w:rsid w:val="59F91E1B"/>
    <w:rsid w:val="5A1B7FE4"/>
    <w:rsid w:val="5A3B2810"/>
    <w:rsid w:val="5A3D43FE"/>
    <w:rsid w:val="5A453424"/>
    <w:rsid w:val="5A490FF5"/>
    <w:rsid w:val="5A502A8A"/>
    <w:rsid w:val="5A5F6122"/>
    <w:rsid w:val="5AA71877"/>
    <w:rsid w:val="5AE1122D"/>
    <w:rsid w:val="5B10148F"/>
    <w:rsid w:val="5B1F1D55"/>
    <w:rsid w:val="5B2B60BC"/>
    <w:rsid w:val="5B3467D9"/>
    <w:rsid w:val="5B5412DA"/>
    <w:rsid w:val="5B5C5B6E"/>
    <w:rsid w:val="5BAA7871"/>
    <w:rsid w:val="5BE70AC5"/>
    <w:rsid w:val="5C0827EA"/>
    <w:rsid w:val="5C090A3C"/>
    <w:rsid w:val="5C0D1BAE"/>
    <w:rsid w:val="5C853E3A"/>
    <w:rsid w:val="5C8C4CA0"/>
    <w:rsid w:val="5C9F2273"/>
    <w:rsid w:val="5CCB7A9F"/>
    <w:rsid w:val="5CEA5519"/>
    <w:rsid w:val="5CFD7E74"/>
    <w:rsid w:val="5D015BB7"/>
    <w:rsid w:val="5D215911"/>
    <w:rsid w:val="5D4E6CF7"/>
    <w:rsid w:val="5D5A29FB"/>
    <w:rsid w:val="5DC82230"/>
    <w:rsid w:val="5DCA5622"/>
    <w:rsid w:val="5E2A5DC9"/>
    <w:rsid w:val="5E4F64AE"/>
    <w:rsid w:val="5E773CD8"/>
    <w:rsid w:val="5E7D409C"/>
    <w:rsid w:val="5E820631"/>
    <w:rsid w:val="5E96486B"/>
    <w:rsid w:val="5ECF7AA9"/>
    <w:rsid w:val="5ED60533"/>
    <w:rsid w:val="5F5256BD"/>
    <w:rsid w:val="5F6D7533"/>
    <w:rsid w:val="5FC5111D"/>
    <w:rsid w:val="5FF26ACB"/>
    <w:rsid w:val="5FFE47FE"/>
    <w:rsid w:val="603911C4"/>
    <w:rsid w:val="603C2012"/>
    <w:rsid w:val="604C60B1"/>
    <w:rsid w:val="606D70BF"/>
    <w:rsid w:val="60EF7954"/>
    <w:rsid w:val="60F4333C"/>
    <w:rsid w:val="61016185"/>
    <w:rsid w:val="614E6EF1"/>
    <w:rsid w:val="6162299C"/>
    <w:rsid w:val="61AD3C17"/>
    <w:rsid w:val="61B836B6"/>
    <w:rsid w:val="620D46B6"/>
    <w:rsid w:val="621041A6"/>
    <w:rsid w:val="62344338"/>
    <w:rsid w:val="62511EEA"/>
    <w:rsid w:val="62864468"/>
    <w:rsid w:val="62917095"/>
    <w:rsid w:val="629B20F8"/>
    <w:rsid w:val="62FE780F"/>
    <w:rsid w:val="63041F5D"/>
    <w:rsid w:val="631D4DCC"/>
    <w:rsid w:val="6333200E"/>
    <w:rsid w:val="633F2F95"/>
    <w:rsid w:val="637F3CAB"/>
    <w:rsid w:val="63AB4186"/>
    <w:rsid w:val="63DF2082"/>
    <w:rsid w:val="63E91153"/>
    <w:rsid w:val="63F0603D"/>
    <w:rsid w:val="64122457"/>
    <w:rsid w:val="643C1282"/>
    <w:rsid w:val="647A1DAB"/>
    <w:rsid w:val="647C6082"/>
    <w:rsid w:val="64D05AAE"/>
    <w:rsid w:val="64D836A1"/>
    <w:rsid w:val="65140385"/>
    <w:rsid w:val="65624D19"/>
    <w:rsid w:val="65A45331"/>
    <w:rsid w:val="65B512EC"/>
    <w:rsid w:val="65D57BE0"/>
    <w:rsid w:val="65F22540"/>
    <w:rsid w:val="65FC1E58"/>
    <w:rsid w:val="660B1854"/>
    <w:rsid w:val="66100C18"/>
    <w:rsid w:val="662F72F1"/>
    <w:rsid w:val="665C5C0C"/>
    <w:rsid w:val="665F56FC"/>
    <w:rsid w:val="66846F11"/>
    <w:rsid w:val="66A3383B"/>
    <w:rsid w:val="67191D4F"/>
    <w:rsid w:val="67242BCD"/>
    <w:rsid w:val="676B62D3"/>
    <w:rsid w:val="677F5734"/>
    <w:rsid w:val="67C134FB"/>
    <w:rsid w:val="67D31EFE"/>
    <w:rsid w:val="67F0485E"/>
    <w:rsid w:val="67F307F2"/>
    <w:rsid w:val="67FD181E"/>
    <w:rsid w:val="68012F0F"/>
    <w:rsid w:val="682F4AFB"/>
    <w:rsid w:val="68BE261D"/>
    <w:rsid w:val="68D777CC"/>
    <w:rsid w:val="68F55EA4"/>
    <w:rsid w:val="69382960"/>
    <w:rsid w:val="69482477"/>
    <w:rsid w:val="694D7A8E"/>
    <w:rsid w:val="69584DB0"/>
    <w:rsid w:val="695B21AB"/>
    <w:rsid w:val="695D4175"/>
    <w:rsid w:val="69A55B1C"/>
    <w:rsid w:val="69C04704"/>
    <w:rsid w:val="69D00DEB"/>
    <w:rsid w:val="69DD52B6"/>
    <w:rsid w:val="69E11258"/>
    <w:rsid w:val="69E30474"/>
    <w:rsid w:val="69EC19CE"/>
    <w:rsid w:val="6A1F767C"/>
    <w:rsid w:val="6A463A0A"/>
    <w:rsid w:val="6A4C4DCB"/>
    <w:rsid w:val="6A7E25F5"/>
    <w:rsid w:val="6A8B6AC0"/>
    <w:rsid w:val="6AAD6A36"/>
    <w:rsid w:val="6AC14F90"/>
    <w:rsid w:val="6ACF10A2"/>
    <w:rsid w:val="6AE44AD1"/>
    <w:rsid w:val="6B030D4C"/>
    <w:rsid w:val="6B0C6748"/>
    <w:rsid w:val="6B120F8F"/>
    <w:rsid w:val="6B5E41D4"/>
    <w:rsid w:val="6B825095"/>
    <w:rsid w:val="6B8D27C1"/>
    <w:rsid w:val="6BAA4155"/>
    <w:rsid w:val="6C2F4890"/>
    <w:rsid w:val="6C47110C"/>
    <w:rsid w:val="6C4909E0"/>
    <w:rsid w:val="6C57134F"/>
    <w:rsid w:val="6C6310A3"/>
    <w:rsid w:val="6CA4030D"/>
    <w:rsid w:val="6CAE0FD1"/>
    <w:rsid w:val="6CCE0573"/>
    <w:rsid w:val="6D0D7B2C"/>
    <w:rsid w:val="6D5E603A"/>
    <w:rsid w:val="6DC81DD9"/>
    <w:rsid w:val="6E0B7F04"/>
    <w:rsid w:val="6E2A4841"/>
    <w:rsid w:val="6E573888"/>
    <w:rsid w:val="6E895A0C"/>
    <w:rsid w:val="6EB04D47"/>
    <w:rsid w:val="6EB32A89"/>
    <w:rsid w:val="6ED8429D"/>
    <w:rsid w:val="6F343BCA"/>
    <w:rsid w:val="6F4436E1"/>
    <w:rsid w:val="6F482E88"/>
    <w:rsid w:val="6F635535"/>
    <w:rsid w:val="6FB4402A"/>
    <w:rsid w:val="702B7806"/>
    <w:rsid w:val="7040034C"/>
    <w:rsid w:val="70540263"/>
    <w:rsid w:val="70545BA6"/>
    <w:rsid w:val="708244C1"/>
    <w:rsid w:val="70DC7DEA"/>
    <w:rsid w:val="70E64A50"/>
    <w:rsid w:val="71116622"/>
    <w:rsid w:val="712E63F7"/>
    <w:rsid w:val="71306953"/>
    <w:rsid w:val="71946BA2"/>
    <w:rsid w:val="71B23A62"/>
    <w:rsid w:val="71BE4B44"/>
    <w:rsid w:val="71DC5E53"/>
    <w:rsid w:val="721B4BCD"/>
    <w:rsid w:val="722E4900"/>
    <w:rsid w:val="725221EA"/>
    <w:rsid w:val="727367B7"/>
    <w:rsid w:val="729B22F4"/>
    <w:rsid w:val="729C3F60"/>
    <w:rsid w:val="72D206CB"/>
    <w:rsid w:val="72DC15CF"/>
    <w:rsid w:val="72F13B80"/>
    <w:rsid w:val="72FC49FE"/>
    <w:rsid w:val="72FD2525"/>
    <w:rsid w:val="73A06665"/>
    <w:rsid w:val="73A14D27"/>
    <w:rsid w:val="73DE2356"/>
    <w:rsid w:val="74055AE2"/>
    <w:rsid w:val="741B5D9E"/>
    <w:rsid w:val="74352A13"/>
    <w:rsid w:val="745148D6"/>
    <w:rsid w:val="747D1B6F"/>
    <w:rsid w:val="749E3893"/>
    <w:rsid w:val="74A76BEC"/>
    <w:rsid w:val="74E120FE"/>
    <w:rsid w:val="74E23E44"/>
    <w:rsid w:val="74E474F8"/>
    <w:rsid w:val="75287D2D"/>
    <w:rsid w:val="753C5586"/>
    <w:rsid w:val="75596138"/>
    <w:rsid w:val="75C15A8B"/>
    <w:rsid w:val="75CD6894"/>
    <w:rsid w:val="75D51537"/>
    <w:rsid w:val="766E5C13"/>
    <w:rsid w:val="770179A1"/>
    <w:rsid w:val="770E6AAE"/>
    <w:rsid w:val="77514BED"/>
    <w:rsid w:val="77C27899"/>
    <w:rsid w:val="784604CA"/>
    <w:rsid w:val="784D7AAA"/>
    <w:rsid w:val="786D5A56"/>
    <w:rsid w:val="78743289"/>
    <w:rsid w:val="78C7160B"/>
    <w:rsid w:val="78D13B60"/>
    <w:rsid w:val="78E51A91"/>
    <w:rsid w:val="78F87A16"/>
    <w:rsid w:val="79030169"/>
    <w:rsid w:val="79984D55"/>
    <w:rsid w:val="79B0209F"/>
    <w:rsid w:val="79B53B59"/>
    <w:rsid w:val="79C142AC"/>
    <w:rsid w:val="79C21DD2"/>
    <w:rsid w:val="79E34AB5"/>
    <w:rsid w:val="7ADB314B"/>
    <w:rsid w:val="7AE55D78"/>
    <w:rsid w:val="7B225A49"/>
    <w:rsid w:val="7B4927AB"/>
    <w:rsid w:val="7B841A35"/>
    <w:rsid w:val="7BE67FFA"/>
    <w:rsid w:val="7C5B67F0"/>
    <w:rsid w:val="7C635AEE"/>
    <w:rsid w:val="7C887303"/>
    <w:rsid w:val="7CCD740C"/>
    <w:rsid w:val="7CD677F0"/>
    <w:rsid w:val="7D083FA0"/>
    <w:rsid w:val="7D212E77"/>
    <w:rsid w:val="7D2747F6"/>
    <w:rsid w:val="7D284642"/>
    <w:rsid w:val="7D4C20DE"/>
    <w:rsid w:val="7DC7734A"/>
    <w:rsid w:val="7DD86AA8"/>
    <w:rsid w:val="7DE041F8"/>
    <w:rsid w:val="7DE852F6"/>
    <w:rsid w:val="7E0429B9"/>
    <w:rsid w:val="7E0C7AC0"/>
    <w:rsid w:val="7E0E55E6"/>
    <w:rsid w:val="7E292420"/>
    <w:rsid w:val="7E4B50A8"/>
    <w:rsid w:val="7E9E3E85"/>
    <w:rsid w:val="7EB77A2B"/>
    <w:rsid w:val="7ED92098"/>
    <w:rsid w:val="7EE36A72"/>
    <w:rsid w:val="7F0567A1"/>
    <w:rsid w:val="7F14707A"/>
    <w:rsid w:val="7F312B82"/>
    <w:rsid w:val="7F574F68"/>
    <w:rsid w:val="7F6F5A5C"/>
    <w:rsid w:val="7F737DF6"/>
    <w:rsid w:val="7FB04AAA"/>
    <w:rsid w:val="7FCA19E0"/>
    <w:rsid w:val="7FCA378E"/>
    <w:rsid w:val="7FCB16B2"/>
    <w:rsid w:val="7FCF0B82"/>
    <w:rsid w:val="7FE468A4"/>
    <w:rsid w:val="7FEA6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
    <Relationship Target="fontTable.xml" Type="http://schemas.openxmlformats.org/officeDocument/2006/relationships/fontTable" Id="rId5"/>
    <Relationship Target="../customXml/item1.xml" Type="http://schemas.openxmlformats.org/officeDocument/2006/relationships/customXml" Id="rId4"/>
    <Relationship Target="theme/theme1.xml" Type="http://schemas.openxmlformats.org/officeDocument/2006/relationships/theme" Id="rId3"/>
    <Relationship Target="settings.xml" Type="http://schemas.openxmlformats.org/officeDocument/2006/relationships/settings" Id="rId2"/>
    <Relationship Target="styles.xml" Type="http://schemas.openxmlformats.org/officeDocument/2006/relationships/styles"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1892</Words>
  <Characters>3522</Characters>
  <Lines>0</Lines>
  <Paragraphs>0</Paragraphs>
  <TotalTime>40</TotalTime>
  <ScaleCrop>false</ScaleCrop>
  <LinksUpToDate>false</LinksUpToDate>
  <CharactersWithSpaces>3528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2022-07-15T14:22:00Z</dcterms:created>
  <dc:creator>admin</dc:creator>
  <cp:lastModifiedBy>user</cp:lastModifiedBy>
  <dcterms:modified xsi:type="dcterms:W3CDTF">2023-09-27T15:16:22Z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301D54C496B04133941CBD534B5C85A0</vt:lpwstr>
  </property>
</Properties>
</file>