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审计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行政执法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主体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信息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753"/>
        <w:gridCol w:w="349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行政执法主体</w:t>
            </w:r>
          </w:p>
        </w:tc>
        <w:tc>
          <w:tcPr>
            <w:tcW w:w="442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职能</w:t>
            </w:r>
          </w:p>
        </w:tc>
        <w:tc>
          <w:tcPr>
            <w:tcW w:w="2053" w:type="pct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1039" w:type="pc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长沙市芙蓉区审计局</w:t>
            </w:r>
          </w:p>
        </w:tc>
        <w:tc>
          <w:tcPr>
            <w:tcW w:w="442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审计</w:t>
            </w:r>
          </w:p>
        </w:tc>
        <w:tc>
          <w:tcPr>
            <w:tcW w:w="2053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  <w:r>
              <w:rPr>
                <w:rFonts w:hint="eastAsia"/>
                <w:vertAlign w:val="baseline"/>
                <w:lang w:val="en-US" w:eastAsia="zh-CN"/>
              </w:rPr>
              <w:t>人民东路189号</w:t>
            </w:r>
          </w:p>
        </w:tc>
        <w:tc>
          <w:tcPr>
            <w:tcW w:w="1039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073184683272</w:t>
            </w:r>
          </w:p>
        </w:tc>
      </w:tr>
    </w:tbl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outlineLvl w:val="3"/>
        <w:rPr>
          <w:rFonts w:hint="default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审计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行政执法人员信息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 w:colFirst="0" w:colLast="4"/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执法领域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执法类别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执法证编号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刘志云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姚天洋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阳闪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芙蓉区审计局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长沙市芙蓉区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湘01012000009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F1E9D"/>
    <w:rsid w:val="3C231576"/>
    <w:rsid w:val="6FD30352"/>
    <w:rsid w:val="798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2022-01-17T07:01:00Z</dcterms:created>
  <dc:creator>Administrator</dc:creator>
  <cp:lastModifiedBy>灵宁</cp:lastModifiedBy>
  <dcterms:modified xsi:type="dcterms:W3CDTF">2022-01-18T05:55:03Z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26F3A3C659074B07A7705185C72E6CA6</vt:lpwstr>
  </property>
</Properties>
</file>