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700" w:lineRule="exact"/>
        <w:jc w:val="center"/>
        <w:rPr>
          <w:rFonts w:hint="eastAsia"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lang w:val="en-US" w:eastAsia="zh-CN"/>
        </w:rPr>
        <w:t>2022</w:t>
      </w:r>
      <w:r>
        <w:rPr>
          <w:rFonts w:hint="eastAsia" w:ascii="Times New Roman" w:hAnsi="Times New Roman" w:eastAsia="方正小标宋简体" w:cs="Times New Roman"/>
          <w:color w:val="auto"/>
          <w:sz w:val="44"/>
          <w:szCs w:val="44"/>
        </w:rPr>
        <w:t>年度</w:t>
      </w:r>
      <w:r>
        <w:rPr>
          <w:rFonts w:hint="eastAsia" w:ascii="Times New Roman" w:hAnsi="Times New Roman" w:eastAsia="方正小标宋简体" w:cs="Times New Roman"/>
          <w:color w:val="auto"/>
          <w:sz w:val="44"/>
          <w:szCs w:val="44"/>
          <w:lang w:eastAsia="zh-CN"/>
        </w:rPr>
        <w:t>统计局</w:t>
      </w:r>
      <w:r>
        <w:rPr>
          <w:rFonts w:hint="eastAsia" w:ascii="Times New Roman" w:hAnsi="Times New Roman" w:eastAsia="方正小标宋简体" w:cs="Times New Roman"/>
          <w:color w:val="auto"/>
          <w:sz w:val="44"/>
          <w:szCs w:val="44"/>
        </w:rPr>
        <w:t>部门整体支出绩效</w:t>
      </w:r>
    </w:p>
    <w:p>
      <w:pPr>
        <w:pStyle w:val="4"/>
        <w:keepNext w:val="0"/>
        <w:keepLines w:val="0"/>
        <w:widowControl/>
        <w:suppressLineNumbers w:val="0"/>
        <w:spacing w:before="0" w:beforeAutospacing="0" w:after="20" w:afterAutospacing="0"/>
        <w:ind w:left="0" w:right="0"/>
        <w:jc w:val="center"/>
        <w:rPr>
          <w:rFonts w:ascii="方正小标宋_GBK" w:hAnsi="方正小标宋_GBK" w:eastAsia="方正小标宋_GBK" w:cs="方正小标宋_GBK"/>
          <w:color w:val="000000"/>
          <w:sz w:val="84"/>
          <w:szCs w:val="84"/>
        </w:rPr>
      </w:pPr>
      <w:r>
        <w:rPr>
          <w:rFonts w:hint="eastAsia" w:ascii="Times New Roman" w:hAnsi="Times New Roman" w:eastAsia="方正小标宋简体" w:cs="Times New Roman"/>
          <w:color w:val="auto"/>
          <w:sz w:val="44"/>
          <w:szCs w:val="44"/>
        </w:rPr>
        <w:t>评价报告</w:t>
      </w:r>
    </w:p>
    <w:p>
      <w:pPr>
        <w:spacing w:line="572" w:lineRule="exact"/>
        <w:ind w:firstLine="880" w:firstLineChars="200"/>
        <w:jc w:val="center"/>
        <w:rPr>
          <w:rFonts w:hint="default" w:eastAsia="黑体"/>
          <w:kern w:val="0"/>
          <w:sz w:val="32"/>
          <w:szCs w:val="32"/>
          <w:lang w:val="en-US" w:eastAsia="zh-CN"/>
        </w:rPr>
      </w:pPr>
      <w:r>
        <w:rPr>
          <w:rFonts w:hint="eastAsia" w:eastAsia="黑体"/>
          <w:kern w:val="0"/>
          <w:sz w:val="44"/>
          <w:szCs w:val="44"/>
          <w:lang w:eastAsia="zh-CN"/>
        </w:rPr>
        <w:t>第一部分</w:t>
      </w:r>
      <w:r>
        <w:rPr>
          <w:rFonts w:hint="eastAsia" w:eastAsia="黑体"/>
          <w:kern w:val="0"/>
          <w:sz w:val="44"/>
          <w:szCs w:val="44"/>
          <w:lang w:val="en-US" w:eastAsia="zh-CN"/>
        </w:rPr>
        <w:t xml:space="preserve"> 部门概况</w:t>
      </w:r>
    </w:p>
    <w:p>
      <w:pPr>
        <w:keepNext w:val="0"/>
        <w:keepLines w:val="0"/>
        <w:pageBreakBefore w:val="0"/>
        <w:kinsoku/>
        <w:wordWrap/>
        <w:overflowPunct/>
        <w:topLinePunct w:val="0"/>
        <w:autoSpaceDE/>
        <w:autoSpaceDN/>
        <w:bidi w:val="0"/>
        <w:spacing w:line="572" w:lineRule="exact"/>
        <w:ind w:firstLine="640" w:firstLineChars="200"/>
        <w:textAlignment w:val="auto"/>
        <w:rPr>
          <w:rFonts w:hint="eastAsia" w:eastAsia="仿宋_GB2312"/>
          <w:sz w:val="32"/>
          <w:szCs w:val="32"/>
          <w:lang w:eastAsia="zh-CN"/>
        </w:rPr>
      </w:pPr>
      <w:r>
        <w:rPr>
          <w:rFonts w:hint="eastAsia" w:eastAsia="黑体"/>
          <w:kern w:val="0"/>
          <w:sz w:val="32"/>
          <w:szCs w:val="32"/>
        </w:rPr>
        <w:t>一、</w:t>
      </w:r>
      <w:r>
        <w:rPr>
          <w:rFonts w:hint="eastAsia" w:ascii="黑体" w:hAnsi="黑体" w:eastAsia="黑体" w:cs="黑体"/>
          <w:sz w:val="32"/>
          <w:szCs w:val="32"/>
        </w:rPr>
        <w:t>部门基本情况</w:t>
      </w:r>
    </w:p>
    <w:p>
      <w:pPr>
        <w:keepNext w:val="0"/>
        <w:keepLines w:val="0"/>
        <w:pageBreakBefore w:val="0"/>
        <w:kinsoku/>
        <w:wordWrap/>
        <w:overflowPunct/>
        <w:topLinePunct w:val="0"/>
        <w:autoSpaceDE/>
        <w:autoSpaceDN/>
        <w:bidi w:val="0"/>
        <w:adjustRightInd w:val="0"/>
        <w:snapToGrid w:val="0"/>
        <w:spacing w:line="572" w:lineRule="exact"/>
        <w:ind w:firstLine="640" w:firstLineChars="200"/>
        <w:textAlignment w:val="auto"/>
        <w:rPr>
          <w:rFonts w:hint="eastAsia" w:eastAsia="仿宋_GB2312"/>
          <w:sz w:val="32"/>
          <w:szCs w:val="32"/>
        </w:rPr>
      </w:pPr>
      <w:r>
        <w:rPr>
          <w:rFonts w:hint="eastAsia" w:eastAsia="仿宋_GB2312"/>
          <w:sz w:val="32"/>
          <w:szCs w:val="32"/>
        </w:rPr>
        <w:t>1、本单位行政编制7个，实有行政编制人员5人；参公编制12个，实有参公编制人员11人；雇员2人；合计在职人数为18人。</w:t>
      </w:r>
    </w:p>
    <w:p>
      <w:pPr>
        <w:keepNext w:val="0"/>
        <w:keepLines w:val="0"/>
        <w:pageBreakBefore w:val="0"/>
        <w:kinsoku/>
        <w:wordWrap/>
        <w:overflowPunct/>
        <w:topLinePunct w:val="0"/>
        <w:autoSpaceDE/>
        <w:autoSpaceDN/>
        <w:bidi w:val="0"/>
        <w:adjustRightInd w:val="0"/>
        <w:snapToGrid w:val="0"/>
        <w:spacing w:line="572" w:lineRule="exact"/>
        <w:ind w:firstLine="640" w:firstLineChars="200"/>
        <w:textAlignment w:val="auto"/>
        <w:rPr>
          <w:rFonts w:hint="eastAsia" w:eastAsia="仿宋_GB2312"/>
          <w:sz w:val="32"/>
          <w:szCs w:val="32"/>
        </w:rPr>
      </w:pPr>
      <w:r>
        <w:rPr>
          <w:rFonts w:hint="eastAsia" w:eastAsia="仿宋_GB2312"/>
          <w:sz w:val="32"/>
          <w:szCs w:val="32"/>
        </w:rPr>
        <w:t>2、根据编办核定，统计局单位包括本级、内设科室、二级机构2个。局属事业单位分别是芙蓉区统计普查中心、芙蓉区经济调查队。</w:t>
      </w:r>
    </w:p>
    <w:p>
      <w:pPr>
        <w:keepNext w:val="0"/>
        <w:keepLines w:val="0"/>
        <w:pageBreakBefore w:val="0"/>
        <w:kinsoku/>
        <w:wordWrap/>
        <w:overflowPunct/>
        <w:topLinePunct w:val="0"/>
        <w:autoSpaceDE/>
        <w:autoSpaceDN/>
        <w:bidi w:val="0"/>
        <w:adjustRightInd w:val="0"/>
        <w:snapToGrid w:val="0"/>
        <w:spacing w:line="572" w:lineRule="exact"/>
        <w:ind w:firstLine="640" w:firstLineChars="200"/>
        <w:textAlignment w:val="auto"/>
        <w:rPr>
          <w:rFonts w:hint="eastAsia" w:eastAsia="仿宋_GB2312"/>
          <w:sz w:val="32"/>
          <w:szCs w:val="32"/>
        </w:rPr>
      </w:pPr>
      <w:r>
        <w:rPr>
          <w:rFonts w:hint="eastAsia" w:eastAsia="仿宋_GB2312"/>
          <w:sz w:val="32"/>
          <w:szCs w:val="32"/>
        </w:rPr>
        <w:t>3、职能职责：⑴贯彻执行国家、省、市统计工作的方针、政策和统计法律、法规，完成国家、省、市统计调查任务；检查监督统计法律、法规的实施情况，查处各类统计违法行为。⑵制定并组织实施全区统计改革和统计现代化建设规划及统计调查计划；建立健全全区国民经济核算体系和统计指标体系。⑶指导和协调全区统计业务工作，组织开展全区性的区情区力普查及有关专项调查；审核区直各有关部门的统计调查计划及其调查方案。⑷为区委、区人民政府制定政策、编制国民经济和社会发展规划提供统计资料，并对全区国民经济社会发展等情况进行统计分析、统计预测、统计检查和监督，向区委、区人民政府及其有关部门提供统计信息和咨询建议。⑸统一核定、管理、公布全区经济、社会、发展等基本统计资料，定期发布全区国民经济和社会发展情况统计公报以及有关普查和专项调查公报；发布社会经济统计信息</w:t>
      </w:r>
      <w:r>
        <w:rPr>
          <w:rFonts w:hint="eastAsia" w:eastAsia="仿宋_GB2312"/>
          <w:sz w:val="32"/>
          <w:szCs w:val="32"/>
          <w:lang w:eastAsia="zh-CN"/>
        </w:rPr>
        <w:t>；负责将安全生产责任事故等统计信息按国家有关规定发布</w:t>
      </w:r>
      <w:r>
        <w:rPr>
          <w:rFonts w:hint="eastAsia" w:eastAsia="仿宋_GB2312"/>
          <w:sz w:val="32"/>
          <w:szCs w:val="32"/>
        </w:rPr>
        <w:t>。⑹建立健全和管理全区统计信息自动化系统和统计数据库体系；指导各基层单位加强统计基层基础建设。⑺组织实施全区城乡住户调查和企业调查工作。⑻组织指导全区统计科研、统计教育、统计宣传工作。⑼承办区委、区人民政府和上级主管部门交办的其他事项。</w:t>
      </w:r>
      <w:bookmarkStart w:id="0" w:name="_GoBack"/>
      <w:bookmarkEnd w:id="0"/>
    </w:p>
    <w:p>
      <w:pPr>
        <w:keepNext w:val="0"/>
        <w:keepLines w:val="0"/>
        <w:pageBreakBefore w:val="0"/>
        <w:kinsoku/>
        <w:wordWrap/>
        <w:overflowPunct/>
        <w:topLinePunct w:val="0"/>
        <w:autoSpaceDE/>
        <w:autoSpaceDN/>
        <w:bidi w:val="0"/>
        <w:adjustRightInd w:val="0"/>
        <w:snapToGrid w:val="0"/>
        <w:spacing w:line="572" w:lineRule="exact"/>
        <w:ind w:firstLine="640" w:firstLineChars="200"/>
        <w:textAlignment w:val="auto"/>
        <w:rPr>
          <w:rFonts w:hint="eastAsia" w:eastAsia="仿宋_GB2312"/>
          <w:sz w:val="32"/>
          <w:szCs w:val="32"/>
        </w:rPr>
      </w:pPr>
      <w:r>
        <w:rPr>
          <w:rFonts w:hint="eastAsia" w:eastAsia="仿宋_GB2312"/>
          <w:sz w:val="32"/>
          <w:szCs w:val="32"/>
        </w:rPr>
        <w:t>4、重点工作计划：⑴</w:t>
      </w:r>
      <w:r>
        <w:rPr>
          <w:rFonts w:hint="eastAsia" w:eastAsia="仿宋_GB2312"/>
          <w:sz w:val="32"/>
          <w:szCs w:val="32"/>
          <w:lang w:eastAsia="zh-CN"/>
        </w:rPr>
        <w:t>认真</w:t>
      </w:r>
      <w:r>
        <w:rPr>
          <w:rFonts w:hint="eastAsia" w:eastAsia="仿宋_GB2312"/>
          <w:sz w:val="32"/>
          <w:szCs w:val="32"/>
        </w:rPr>
        <w:t>做好常规性统计工作；⑵</w:t>
      </w:r>
      <w:r>
        <w:rPr>
          <w:rFonts w:hint="eastAsia" w:eastAsia="仿宋_GB2312"/>
          <w:sz w:val="32"/>
          <w:szCs w:val="32"/>
          <w:lang w:eastAsia="zh-CN"/>
        </w:rPr>
        <w:t>做好月度劳动力调查、城镇住户调查等调查</w:t>
      </w:r>
      <w:r>
        <w:rPr>
          <w:rFonts w:hint="eastAsia" w:eastAsia="仿宋_GB2312"/>
          <w:sz w:val="32"/>
          <w:szCs w:val="32"/>
        </w:rPr>
        <w:t>工作；⑶做好统计监测预警等服务工作；⑷继续做好第</w:t>
      </w:r>
      <w:r>
        <w:rPr>
          <w:rFonts w:hint="eastAsia" w:eastAsia="仿宋_GB2312"/>
          <w:sz w:val="32"/>
          <w:szCs w:val="32"/>
          <w:lang w:eastAsia="zh-CN"/>
        </w:rPr>
        <w:t>七</w:t>
      </w:r>
      <w:r>
        <w:rPr>
          <w:rFonts w:hint="eastAsia" w:eastAsia="仿宋_GB2312"/>
          <w:sz w:val="32"/>
          <w:szCs w:val="32"/>
        </w:rPr>
        <w:t>次全国</w:t>
      </w:r>
      <w:r>
        <w:rPr>
          <w:rFonts w:hint="eastAsia" w:eastAsia="仿宋_GB2312"/>
          <w:sz w:val="32"/>
          <w:szCs w:val="32"/>
          <w:lang w:eastAsia="zh-CN"/>
        </w:rPr>
        <w:t>人口</w:t>
      </w:r>
      <w:r>
        <w:rPr>
          <w:rFonts w:hint="eastAsia" w:eastAsia="仿宋_GB2312"/>
          <w:sz w:val="32"/>
          <w:szCs w:val="32"/>
        </w:rPr>
        <w:t>普查工作；⑸加大统计执法监督力度。</w:t>
      </w:r>
    </w:p>
    <w:p>
      <w:pPr>
        <w:pStyle w:val="2"/>
        <w:keepNext w:val="0"/>
        <w:keepLines w:val="0"/>
        <w:pageBreakBefore w:val="0"/>
        <w:kinsoku/>
        <w:wordWrap/>
        <w:overflowPunct/>
        <w:topLinePunct w:val="0"/>
        <w:autoSpaceDE/>
        <w:autoSpaceDN/>
        <w:bidi w:val="0"/>
        <w:ind w:firstLine="360" w:firstLineChars="200"/>
        <w:textAlignment w:val="auto"/>
        <w:rPr>
          <w:rFonts w:hint="eastAsia"/>
        </w:rPr>
      </w:pPr>
    </w:p>
    <w:p>
      <w:pPr>
        <w:keepNext w:val="0"/>
        <w:keepLines w:val="0"/>
        <w:pageBreakBefore w:val="0"/>
        <w:kinsoku/>
        <w:wordWrap/>
        <w:overflowPunct/>
        <w:topLinePunct w:val="0"/>
        <w:autoSpaceDE/>
        <w:autoSpaceDN/>
        <w:bidi w:val="0"/>
        <w:adjustRightInd w:val="0"/>
        <w:snapToGrid w:val="0"/>
        <w:spacing w:line="572" w:lineRule="exact"/>
        <w:ind w:firstLine="880" w:firstLineChars="200"/>
        <w:jc w:val="center"/>
        <w:textAlignment w:val="auto"/>
        <w:rPr>
          <w:rFonts w:hint="eastAsia" w:eastAsia="仿宋_GB2312"/>
          <w:sz w:val="44"/>
          <w:szCs w:val="44"/>
        </w:rPr>
      </w:pPr>
      <w:r>
        <w:rPr>
          <w:rFonts w:hint="eastAsia" w:eastAsia="黑体"/>
          <w:kern w:val="0"/>
          <w:sz w:val="44"/>
          <w:szCs w:val="44"/>
          <w:lang w:eastAsia="zh-CN"/>
        </w:rPr>
        <w:t>第二部分</w:t>
      </w:r>
      <w:r>
        <w:rPr>
          <w:rFonts w:hint="eastAsia" w:eastAsia="黑体"/>
          <w:kern w:val="0"/>
          <w:sz w:val="44"/>
          <w:szCs w:val="44"/>
          <w:lang w:val="en-US" w:eastAsia="zh-CN"/>
        </w:rPr>
        <w:t xml:space="preserve"> </w:t>
      </w:r>
      <w:r>
        <w:rPr>
          <w:rFonts w:hint="eastAsia" w:eastAsia="黑体"/>
          <w:kern w:val="0"/>
          <w:sz w:val="44"/>
          <w:szCs w:val="44"/>
        </w:rPr>
        <w:t>部门</w:t>
      </w:r>
      <w:r>
        <w:rPr>
          <w:rFonts w:hint="eastAsia" w:eastAsia="黑体"/>
          <w:kern w:val="0"/>
          <w:sz w:val="44"/>
          <w:szCs w:val="44"/>
          <w:lang w:eastAsia="zh-CN"/>
        </w:rPr>
        <w:t>决算情况说明</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480" w:firstLineChars="200"/>
        <w:jc w:val="center"/>
        <w:textAlignment w:val="auto"/>
      </w:pP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黑体" w:hAnsi="宋体" w:eastAsia="黑体" w:cs="黑体"/>
          <w:color w:val="000000"/>
          <w:sz w:val="32"/>
          <w:szCs w:val="32"/>
        </w:rPr>
        <w:t>一、收入支出决算总体情况说明</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2022年度收、支总计1465.89万元。与上年相比，减少212.48万元，减少12.66%，主要是因为2022年度没有大型普查调查工作安排，所以2022年经费收、支减少。</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黑体" w:hAnsi="宋体" w:eastAsia="黑体" w:cs="黑体"/>
          <w:color w:val="000000"/>
          <w:sz w:val="32"/>
          <w:szCs w:val="32"/>
        </w:rPr>
        <w:t>二、收入决算情况说明</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2022年度收入合计1465.89万元，其中：财政拨款收入1465.89万元，占100%。</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黑体" w:hAnsi="宋体" w:eastAsia="黑体" w:cs="黑体"/>
          <w:color w:val="000000"/>
          <w:sz w:val="32"/>
          <w:szCs w:val="32"/>
        </w:rPr>
        <w:t>三、支出决算情况说明</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2022年度支出合计1465.89万元，其中：基本支出649.24万元，占44.29%；项目支出816.65万元，占55.71%。</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黑体" w:hAnsi="宋体" w:eastAsia="黑体" w:cs="黑体"/>
          <w:color w:val="000000"/>
          <w:sz w:val="32"/>
          <w:szCs w:val="32"/>
        </w:rPr>
        <w:t>四、财政拨款收入支出决算总体情况说明</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2022年度财政拨款收、支总计1465.89万元，与上年相比，减少210.48万元，减少12.56%，主要是因为2022年度没有大型普查调查工作安排，所以2022年财政拨款收、支减少。</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黑体" w:hAnsi="宋体" w:eastAsia="黑体" w:cs="黑体"/>
          <w:color w:val="000000"/>
          <w:sz w:val="32"/>
          <w:szCs w:val="32"/>
        </w:rPr>
        <w:t>五、一般公共预算财政拨款支出决算情况说明</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ascii="楷体" w:hAnsi="楷体" w:eastAsia="楷体" w:cs="楷体"/>
          <w:color w:val="000000"/>
          <w:sz w:val="32"/>
          <w:szCs w:val="32"/>
        </w:rPr>
        <w:t>（一）财政拨款支出决算总体情况</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2022年度财政拨款支出1465.89万元，占本年支出合计的100.00%，与上年相比，财政拨款支出减少210.48万元，减少12.56%，主要是因为2022年度没有大型普查调查工作安排，所以2022年财政拨款支出减少。</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楷体" w:hAnsi="楷体" w:eastAsia="楷体" w:cs="楷体"/>
          <w:color w:val="000000"/>
          <w:sz w:val="32"/>
          <w:szCs w:val="32"/>
        </w:rPr>
        <w:t>（二）财政拨款支出决算结构情况</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2022年度财政拨款支出1465.89万元，主要用于以下方面：一般公共服务支出1331.89万元，占90.86%；文化旅游体育与传媒支出37.96万元，占2.59%；社会保障和就业支出38.11万元，占2.6%；农林水支出9.31万元，占0.64%；商业服务业等支出3万元，占0.2%；住房保障支出45.62万元，占3.11%。</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楷体" w:hAnsi="楷体" w:eastAsia="楷体" w:cs="楷体"/>
          <w:color w:val="000000"/>
          <w:sz w:val="32"/>
          <w:szCs w:val="32"/>
        </w:rPr>
        <w:t>（三）财政拨款支出决算具体情况</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2022年度财政拨款支出年初预算数为735.24万元，支出决算数为1465.89万元，完成年初预算的199.38%，其中：</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1、一般公共服务支出（类）发展与改革事务（款）其他发展与改革事务支出（项）。</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年初预算0万元，支出决算为270万元，年初无预算，为年中追加指标，决算数大于年初预算数的主要原因是：区级财政对产业发展扶持资金奖励。</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2、一般公共服务支出（类）统计信息事务（款）行政运行（项）。</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年初预算566.88万元，支出决算为567.11万元，完成年初预算的100.04%，决算数大于年初预算数的主要原因是：人员异动。</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3、一般公共服务支出（类）统计信息事务（款）一般行政管理事务（项）。</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年初预算6万元，支出决算为28.91万元，完成年初预算的481.83%，决算数大于年初预算数的主要原因是：市区两级财政补助。</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4、一般公共服务支出（类）统计信息事务（款）专项统计业务（项）。</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年初预算15万元，支出决算为1.5万元，完成年初预算的10.00%，决算数小于年初预算数的主要原因是：因疫情原因2022年度末未顺利开展培训表彰，推迟到2023年初开展。</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5、一般公共服务支出（类）统计信息事务（款）统计抽样调查（项）。</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年初预算80万元，支出决算为77.37万元，完成年初预算的96.71%，决算数小于年初预算数的主要原因是：调查用品采购经费低于预算经费。</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6、一般公共服务支出（类）商贸事务（款）其他商贸事务支出（项）。</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年初预算0万元，支出决算为387万元，年初无预算，为年中追加指标，决算数大于年初预算数的主要原因是：市级年中追加对新增单位奖励资金。</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7、文化旅游体育与传媒支出（类）其他文化旅游体育与传媒支出（款）宣传文化发展专项支出（项）。</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年初预算0万元，支出决算为37.96万元，年初无预算，为年中追加指标，决算数大于年初预算数的主要原因是：市级财政对新增企业奖励。</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8、社会保障和就业支出（类）行政事业单位养老支出（款）机关事业单位基本养老保险缴费支出（项）。</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年初预算20.9万元，支出决算为20.9万元，完成年初预算的100.00%，决算数等于年初预算数。</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9、社会保障和就业支出（类）行政事业单位养老支出（款）机关事业单位职业年金缴费支出（项）。</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年初预算9.36万元，支出决算为15.6万元，完成年初预算的166.67%，决算数大于年初预算数的主要原因是：2022年度完成异动人员虚账记实工作。</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10、社会保障和就业支出（类）就业补助（款）其他就业补助支出（项）。</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年初预算0万元，支出决算为1.61万元，年初无预算，为年中追加指标，决算数大于年初预算数的主要原因是：市财政补助调查经费。</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11、农林水支出（类）农业农村（款）统计监测与信息服务（项）。</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年初预算0万元，支出决算为9.31万元，年初无预算，为年中追加指标，决算数大于年初预算数的主要原因是：市财政补助调查经费。</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12、商业服务业等支出（类）商业流通事务（款）其他商业流通事务支出（项）。</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年初预算0万元，支出决算为3万元，年初无预算，为年中追加指标，决算数大于年初预算数的主要原因是：市级财政对新增企业奖励。</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eastAsia="仿宋_GB2312" w:cs="仿宋_GB2312"/>
          <w:sz w:val="32"/>
          <w:szCs w:val="32"/>
        </w:rPr>
      </w:pPr>
      <w:r>
        <w:rPr>
          <w:rFonts w:hint="default" w:ascii="仿宋_GB2312" w:eastAsia="仿宋_GB2312" w:cs="仿宋_GB2312"/>
          <w:sz w:val="32"/>
          <w:szCs w:val="32"/>
        </w:rPr>
        <w:t>住房保障支出（类）住房改革支出（款）住房公积金（项）。</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textAlignment w:val="auto"/>
        <w:rPr>
          <w:rFonts w:hint="default" w:ascii="仿宋_GB2312" w:eastAsia="仿宋_GB2312" w:cs="仿宋_GB2312"/>
          <w:sz w:val="32"/>
          <w:szCs w:val="32"/>
        </w:rPr>
      </w:pP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年初预算37.1万元，支出决算为45.62万元，完成年初预算的122.96%，决算数大于年初预算数的主要原因是：2022年度基数调整。</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黑体" w:hAnsi="宋体" w:eastAsia="黑体" w:cs="黑体"/>
          <w:color w:val="000000"/>
          <w:sz w:val="32"/>
          <w:szCs w:val="32"/>
        </w:rPr>
        <w:t>六、一般公共预算财政拨款基本支出决算情况说明</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2022年度财政拨款基本支出649.24万元，其中：</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人员经费604.15万元，占基本支出的93.05%，主要包括基本工资、津贴补贴、奖金、伙食补助费等。</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公用经费45.09万元，占基本支出的6.95%，主要包括办公费、印刷费、咨询费、手续费等。</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黑体" w:hAnsi="宋体" w:eastAsia="黑体" w:cs="黑体"/>
          <w:color w:val="000000"/>
          <w:sz w:val="32"/>
          <w:szCs w:val="32"/>
        </w:rPr>
        <w:t>七、财政拨款三公经费支出决算情况说明</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楷体" w:hAnsi="楷体" w:eastAsia="楷体" w:cs="楷体"/>
          <w:color w:val="000000"/>
          <w:sz w:val="32"/>
          <w:szCs w:val="32"/>
        </w:rPr>
        <w:t>（一）“三公”经费财政拨款支出决算总体情况说明</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“三公”经费财政拨款支出预算为0万元，支出决算为0万元，由于分母金额为0，无法计算百分比，其中：</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因公出国（境）费支出预算为0万元，支出决算为0万元，由于分母金额为0，无法计算百分比，决算数与预算数一致，我单位严格按预算执行，与上年相比持平。</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公务接待费支出预算为0万元，支出决算为0万元，由于分母金额为0，无法计算百分比，决算数与预算数一致，我单位严格按预算执行，与上年相比持平。</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firstLine="640" w:firstLineChars="200"/>
        <w:jc w:val="left"/>
        <w:textAlignment w:val="auto"/>
      </w:pPr>
      <w:r>
        <w:rPr>
          <w:rFonts w:hint="default" w:ascii="仿宋_GB2312" w:eastAsia="仿宋_GB2312" w:cs="仿宋_GB2312"/>
          <w:color w:val="000000"/>
          <w:sz w:val="32"/>
          <w:szCs w:val="32"/>
        </w:rPr>
        <w:t>公务用车购置费支出预算为0万元，支出决算为0万元，由于分母金额为0，无法计算百分比，决算数与预算数一致，我单位严格按预算执行，与上年相比持平。</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firstLine="640" w:firstLineChars="200"/>
        <w:jc w:val="left"/>
        <w:textAlignment w:val="auto"/>
      </w:pPr>
      <w:r>
        <w:rPr>
          <w:rFonts w:hint="default" w:ascii="仿宋_GB2312" w:eastAsia="仿宋_GB2312" w:cs="仿宋_GB2312"/>
          <w:color w:val="000000"/>
          <w:sz w:val="32"/>
          <w:szCs w:val="32"/>
        </w:rPr>
        <w:t>公务用车运行维护费支出预算为0万元，支出决算为0万元，由于分母金额为0，无法计算百分比，决算数与预算数一致，我单位严格按预算执行，与上年相比持平。</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楷体" w:hAnsi="楷体" w:eastAsia="楷体" w:cs="楷体"/>
          <w:color w:val="000000"/>
          <w:sz w:val="32"/>
          <w:szCs w:val="32"/>
        </w:rPr>
        <w:t>（二）“三公”经费财政拨款支出决算具体情况说明</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2022年度“三公”经费财政拨款支出决算中，公务接待费支出决算0万元，由于分母为0，无法计算百分比，因公出国（境）费支出决算0万元，由于分母为0，无法计算百分比，公务用车购置费及运行维护费支出决算0万元，由于分母为0，无法计算百分比。其中：</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1、因公出国（境）费支出决算为0万元，全年安排因公出国（境）团组0个，累计0人次，我单位2022年度无因公出国（境）费支出。</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2、公务接待费支出决算为0万元，全年共接待来访团组0个、来宾0人次，我单位2022年度无公务接待费支出。</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3、公务用车购置费及运行维护费支出决算为0万元，其中：公务用车购置费0万元；公务用车运行维护费0万元，截止2022年12月31日，我单位开支财政拨款的公务用车保有量为0辆。</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黑体" w:hAnsi="宋体" w:eastAsia="黑体" w:cs="黑体"/>
          <w:color w:val="000000"/>
          <w:sz w:val="32"/>
          <w:szCs w:val="32"/>
        </w:rPr>
        <w:t>八、政府性基金预算收入支出决算情况</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本单位无政府性基金收支。</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黑体" w:hAnsi="宋体" w:eastAsia="黑体" w:cs="黑体"/>
          <w:color w:val="000000"/>
          <w:sz w:val="32"/>
          <w:szCs w:val="32"/>
        </w:rPr>
        <w:t>九、关于机关运行经费支出说明</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2022年度机关运行经费支出45.09万元，比上年决算数增加16.92万元，增长60.09%,主要原因是：按新标准调整公车补贴。</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黑体" w:hAnsi="宋体" w:eastAsia="黑体" w:cs="黑体"/>
          <w:color w:val="000000"/>
          <w:sz w:val="32"/>
          <w:szCs w:val="32"/>
        </w:rPr>
        <w:t>十、一般性支出情况说明</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2022年本部门开支会议费0.15万元，用于召开统计工作会议，人数38人，内容为全区统计工作会议；开支培训费0.13万元，用于开展统计定报及年报培训，人数24人，内容为工业、能源统计定报及年报培训；未举办节庆、晚会、论坛、赛事活动。</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黑体" w:hAnsi="宋体" w:eastAsia="黑体" w:cs="黑体"/>
          <w:color w:val="000000"/>
          <w:sz w:val="32"/>
          <w:szCs w:val="32"/>
        </w:rPr>
        <w:t>十一、关于政府采购支出说明</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本部门2022年度政府采购支出总额126.54万元，其中：政府采购货物支出31.64万元、政府采购工程支出0万元、政府采购服务支出94.9万元。授予中小企业合同金额31.64万元，占政府采购支出总额的25.00%，其中：授予小微企业合同金额31.64万元，占政府采购支出总额的100.00%；货物采购授予中小企业合同金额31.64万元，占货物支出金额的100.00%，工程采购授予中小企业合同金额0万元，由于分母为0，无法计算百分比，服务采购授予中小企业合同金额0万元，由于分母为0，无法计算百分比。</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黑体" w:hAnsi="宋体" w:eastAsia="黑体" w:cs="黑体"/>
          <w:color w:val="000000"/>
          <w:sz w:val="32"/>
          <w:szCs w:val="32"/>
        </w:rPr>
        <w:t>十二、关于国有资产占用情况说明</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截至2022年12月31日，本部门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黑体" w:hAnsi="宋体" w:eastAsia="黑体" w:cs="黑体"/>
          <w:color w:val="000000"/>
          <w:sz w:val="32"/>
          <w:szCs w:val="32"/>
        </w:rPr>
        <w:t>十三、2022年度</w:t>
      </w:r>
      <w:r>
        <w:rPr>
          <w:rFonts w:hint="eastAsia" w:ascii="黑体" w:hAnsi="宋体" w:eastAsia="黑体" w:cs="黑体"/>
          <w:color w:val="000000"/>
          <w:sz w:val="32"/>
          <w:szCs w:val="32"/>
          <w:lang w:eastAsia="zh-CN"/>
        </w:rPr>
        <w:t>整体支出绩效评价</w:t>
      </w:r>
      <w:r>
        <w:rPr>
          <w:rFonts w:hint="eastAsia" w:ascii="黑体" w:hAnsi="宋体" w:eastAsia="黑体" w:cs="黑体"/>
          <w:color w:val="000000"/>
          <w:sz w:val="32"/>
          <w:szCs w:val="32"/>
        </w:rPr>
        <w:t>说明</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楷体" w:hAnsi="楷体" w:eastAsia="楷体" w:cs="楷体"/>
          <w:color w:val="000000"/>
          <w:sz w:val="32"/>
          <w:szCs w:val="32"/>
        </w:rPr>
        <w:t>（一）部门整体支出绩效情况</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color w:val="000000"/>
          <w:sz w:val="32"/>
          <w:szCs w:val="32"/>
        </w:rPr>
        <w:t>2022年，我局根据年初工作规划，认真做好芙蓉区第七次全国人口普查后续工作，夯实统计基层基础建设及名录库维护、奖励优秀报表单位及个人、月度劳动力调查、城乡住户调查等工作，较好的完成了年度工作目标。通过加强预算收支管理，不断建立健全的内部管理体制，进一步理顺内部管理流程，部门整体支出管理情况得到有效提升。部门整体支出绩效评价情况如下：</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经济性评价</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2022我局严格控制预算支出，不断强化管理，严格执行预决算公开。本年我局充分节约使用经费，基本支出较好的控制在预算额度内，人员经费严格按标准支出；无三公经费开支。项目经费严格按照要求支付，做到专款专用。</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仿宋_GB2312" w:eastAsia="仿宋_GB2312" w:cs="仿宋_GB2312"/>
          <w:sz w:val="32"/>
          <w:szCs w:val="32"/>
          <w:lang w:val="en-US" w:eastAsia="zh-CN"/>
        </w:rPr>
        <w:t>2、</w:t>
      </w:r>
      <w:r>
        <w:rPr>
          <w:rFonts w:hint="default" w:ascii="仿宋_GB2312" w:eastAsia="仿宋_GB2312" w:cs="仿宋_GB2312"/>
          <w:sz w:val="32"/>
          <w:szCs w:val="32"/>
        </w:rPr>
        <w:t>行政效能评价</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为强化部门整体支出，加强国有资产管理，提高资金使用效益，提升财务管理，建立节约型机关，2022年我局在强化业务管理、财务管理和厉行节约方面开展了大量工作，行政效能显著。</w:t>
      </w:r>
    </w:p>
    <w:p>
      <w:pPr>
        <w:pStyle w:val="4"/>
        <w:keepNext w:val="0"/>
        <w:keepLines w:val="0"/>
        <w:pageBreakBefore w:val="0"/>
        <w:widowControl/>
        <w:numPr>
          <w:ilvl w:val="0"/>
          <w:numId w:val="0"/>
        </w:numPr>
        <w:suppressLineNumbers w:val="0"/>
        <w:kinsoku/>
        <w:wordWrap/>
        <w:overflowPunct/>
        <w:topLinePunct w:val="0"/>
        <w:autoSpaceDE/>
        <w:autoSpaceDN/>
        <w:bidi w:val="0"/>
        <w:spacing w:before="0" w:beforeAutospacing="0" w:after="20" w:afterAutospacing="0"/>
        <w:ind w:leftChars="0" w:right="0" w:rightChars="0" w:firstLine="640" w:firstLineChars="200"/>
        <w:textAlignment w:val="auto"/>
      </w:pPr>
      <w:r>
        <w:rPr>
          <w:rFonts w:hint="eastAsia" w:ascii="仿宋_GB2312" w:eastAsia="仿宋_GB2312" w:cs="仿宋_GB2312"/>
          <w:sz w:val="32"/>
          <w:szCs w:val="32"/>
          <w:lang w:eastAsia="zh-CN"/>
        </w:rPr>
        <w:t>一是</w:t>
      </w:r>
      <w:r>
        <w:rPr>
          <w:rFonts w:hint="default" w:ascii="仿宋_GB2312" w:eastAsia="仿宋_GB2312" w:cs="仿宋_GB2312"/>
          <w:sz w:val="32"/>
          <w:szCs w:val="32"/>
        </w:rPr>
        <w:t>严格执行国库集中支付、公务卡结算制度、政府采购等有关规定，政府采购目录内的货物与服务全部按要求实施了政府采购，确保支出管理流程、审批手续的完整。</w:t>
      </w:r>
    </w:p>
    <w:p>
      <w:pPr>
        <w:pStyle w:val="4"/>
        <w:keepNext w:val="0"/>
        <w:keepLines w:val="0"/>
        <w:pageBreakBefore w:val="0"/>
        <w:widowControl/>
        <w:numPr>
          <w:ilvl w:val="0"/>
          <w:numId w:val="0"/>
        </w:numPr>
        <w:suppressLineNumbers w:val="0"/>
        <w:kinsoku/>
        <w:wordWrap/>
        <w:overflowPunct/>
        <w:topLinePunct w:val="0"/>
        <w:autoSpaceDE/>
        <w:autoSpaceDN/>
        <w:bidi w:val="0"/>
        <w:spacing w:before="0" w:beforeAutospacing="0" w:after="20" w:afterAutospacing="0"/>
        <w:ind w:leftChars="0" w:right="0" w:rightChars="0" w:firstLine="640" w:firstLineChars="200"/>
        <w:textAlignment w:val="auto"/>
      </w:pPr>
      <w:r>
        <w:rPr>
          <w:rFonts w:hint="eastAsia" w:ascii="仿宋_GB2312" w:eastAsia="仿宋_GB2312" w:cs="仿宋_GB2312"/>
          <w:sz w:val="32"/>
          <w:szCs w:val="32"/>
          <w:lang w:eastAsia="zh-CN"/>
        </w:rPr>
        <w:t>二是</w:t>
      </w:r>
      <w:r>
        <w:rPr>
          <w:rFonts w:hint="default" w:ascii="仿宋_GB2312" w:eastAsia="仿宋_GB2312" w:cs="仿宋_GB2312"/>
          <w:sz w:val="32"/>
          <w:szCs w:val="32"/>
        </w:rPr>
        <w:t>强化资金使用的监督管理及预算管理。</w:t>
      </w:r>
      <w:r>
        <w:rPr>
          <w:rFonts w:hint="eastAsia" w:ascii="仿宋_GB2312" w:eastAsia="仿宋_GB2312" w:cs="仿宋_GB2312"/>
          <w:sz w:val="32"/>
          <w:szCs w:val="32"/>
          <w:lang w:eastAsia="zh-CN"/>
        </w:rPr>
        <w:t>一方面</w:t>
      </w:r>
      <w:r>
        <w:rPr>
          <w:rFonts w:hint="default" w:ascii="仿宋_GB2312" w:eastAsia="仿宋_GB2312" w:cs="仿宋_GB2312"/>
          <w:sz w:val="32"/>
          <w:szCs w:val="32"/>
        </w:rPr>
        <w:t>规范培训、宣传、咨询活动，严格办公用房管理等，控制办公经费开支</w:t>
      </w:r>
      <w:r>
        <w:rPr>
          <w:rFonts w:hint="eastAsia" w:ascii="仿宋_GB2312" w:eastAsia="仿宋_GB2312" w:cs="仿宋_GB2312"/>
          <w:sz w:val="32"/>
          <w:szCs w:val="32"/>
          <w:lang w:eastAsia="zh-CN"/>
        </w:rPr>
        <w:t>。另一方面</w:t>
      </w:r>
      <w:r>
        <w:rPr>
          <w:rFonts w:hint="default" w:ascii="仿宋_GB2312" w:eastAsia="仿宋_GB2312" w:cs="仿宋_GB2312"/>
          <w:sz w:val="32"/>
          <w:szCs w:val="32"/>
        </w:rPr>
        <w:t>严格财务管理，严格财务的审核把关，严控经费支出，落实项目资金专款专用。</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sz w:val="32"/>
          <w:szCs w:val="32"/>
        </w:rPr>
        <w:t>（三）履职效益</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1、加大培训宣传。举办联网直报单位统计人员年报及定报培训、规模以下服务业抽样调查业务培训、月度劳动力调查业务培训、城乡住户调查业务培训、采购经理单位调查培训等一系列培训；聚焦中央关于统计工作重大决策部署和统计法律法规，充分利用统计开放日、《统计法》颁布实施纪念日等节点开展普法宣传，借助多种宣传载体、形式，不断夯实全区学法、守法、用法的统计法治基础。</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2、夯实基层基础。不断提高全区基层统计规范化建设水平，持续推进街道统计站规范化建设试点工作，推进全区各街道统计站争创全市“星级”统计站工作。进一步加强统计基本单位名录库建设，实现管理的日常化、规范化、标准化。</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3、扎实统计调查。严格按照报表制度，认真做好各项常规统计报表，确保月报、季报、年报数据上报及时、准确。围绕“数据库”、“监测仪”、“晴雨表”、“参谋部”四个作用，实时更新各项指标情况，客观预测我区经济社会发展趋势，对敏感指标实时监测，提高统计分析的深度和统计监测的针对性、时效性，为区委、区政府进行科学管理决策提供扎实的信息保障和优质的统计服务。</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rPr>
          <w:rFonts w:hint="eastAsia" w:ascii="黑体" w:hAnsi="宋体" w:eastAsia="黑体" w:cs="黑体"/>
          <w:color w:val="000000"/>
          <w:sz w:val="32"/>
          <w:szCs w:val="32"/>
        </w:rPr>
      </w:pPr>
      <w:r>
        <w:rPr>
          <w:rFonts w:hint="eastAsia" w:ascii="黑体" w:hAnsi="宋体" w:eastAsia="黑体" w:cs="黑体"/>
          <w:color w:val="000000"/>
          <w:sz w:val="32"/>
          <w:szCs w:val="32"/>
          <w:lang w:eastAsia="zh-CN"/>
        </w:rPr>
        <w:t>十四、</w:t>
      </w:r>
      <w:r>
        <w:rPr>
          <w:rFonts w:hint="eastAsia" w:ascii="黑体" w:hAnsi="宋体" w:eastAsia="黑体" w:cs="黑体"/>
          <w:color w:val="000000"/>
          <w:sz w:val="32"/>
          <w:szCs w:val="32"/>
        </w:rPr>
        <w:t>存在的问题及原因分析</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仿宋_GB2312" w:eastAsia="仿宋_GB2312" w:cs="仿宋_GB2312"/>
          <w:color w:val="000000"/>
          <w:sz w:val="32"/>
          <w:szCs w:val="32"/>
          <w:lang w:eastAsia="zh-CN"/>
        </w:rPr>
        <w:t>（一）</w:t>
      </w:r>
      <w:r>
        <w:rPr>
          <w:rFonts w:hint="default" w:ascii="仿宋_GB2312" w:eastAsia="仿宋_GB2312" w:cs="仿宋_GB2312"/>
          <w:color w:val="000000"/>
          <w:sz w:val="32"/>
          <w:szCs w:val="32"/>
        </w:rPr>
        <w:t>存在的问题：</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1、绩效评价工作机制有待进一步完善，由于在平时工作中未加强对绩效监控工作的重视，绩效监控工作容易滞后，未形成对绩效目标进行监控的习惯。</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2、我局在编制部门年度预算时，根据本单位职能职责和年度工作计划，但在2022年部门预算执行过程中，仍然存在以下问题，比如由于上级交办统计调查监测任务的突发性，一些无法预计和列入年初预算的项目支出，需要在年度中间进行预算追加和调整。</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eastAsia" w:ascii="仿宋_GB2312" w:eastAsia="仿宋_GB2312" w:cs="仿宋_GB2312"/>
          <w:sz w:val="32"/>
          <w:szCs w:val="32"/>
          <w:lang w:eastAsia="zh-CN"/>
        </w:rPr>
        <w:t>（二）</w:t>
      </w:r>
      <w:r>
        <w:rPr>
          <w:rFonts w:hint="default" w:ascii="仿宋_GB2312" w:eastAsia="仿宋_GB2312" w:cs="仿宋_GB2312"/>
          <w:sz w:val="32"/>
          <w:szCs w:val="32"/>
        </w:rPr>
        <w:t>原因分析：</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pPr>
      <w:r>
        <w:rPr>
          <w:rFonts w:hint="default" w:ascii="仿宋_GB2312" w:eastAsia="仿宋_GB2312" w:cs="仿宋_GB2312"/>
          <w:sz w:val="32"/>
          <w:szCs w:val="32"/>
        </w:rPr>
        <w:t>1、绩效评价内容学习还存在滞后，不够深入。</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rPr>
          <w:rFonts w:hint="default" w:ascii="仿宋_GB2312" w:eastAsia="仿宋_GB2312" w:cs="仿宋_GB2312"/>
          <w:sz w:val="32"/>
          <w:szCs w:val="32"/>
        </w:rPr>
      </w:pPr>
      <w:r>
        <w:rPr>
          <w:rFonts w:hint="default" w:ascii="仿宋_GB2312" w:eastAsia="仿宋_GB2312" w:cs="仿宋_GB2312"/>
          <w:sz w:val="32"/>
          <w:szCs w:val="32"/>
        </w:rPr>
        <w:t>2、绩效目标监管习惯还未完全养成。</w:t>
      </w:r>
    </w:p>
    <w:p>
      <w:pPr>
        <w:pStyle w:val="4"/>
        <w:keepNext w:val="0"/>
        <w:keepLines w:val="0"/>
        <w:pageBreakBefore w:val="0"/>
        <w:widowControl/>
        <w:suppressLineNumbers w:val="0"/>
        <w:kinsoku/>
        <w:wordWrap/>
        <w:overflowPunct/>
        <w:topLinePunct w:val="0"/>
        <w:autoSpaceDE/>
        <w:autoSpaceDN/>
        <w:bidi w:val="0"/>
        <w:spacing w:before="0" w:beforeAutospacing="0" w:after="20" w:afterAutospacing="0"/>
        <w:ind w:left="0" w:right="0" w:firstLine="640" w:firstLineChars="200"/>
        <w:textAlignment w:val="auto"/>
        <w:rPr>
          <w:rFonts w:hint="eastAsia" w:ascii="黑体" w:hAnsi="宋体" w:eastAsia="黑体" w:cs="黑体"/>
          <w:color w:val="000000"/>
          <w:sz w:val="32"/>
          <w:szCs w:val="32"/>
          <w:lang w:eastAsia="zh-CN"/>
        </w:rPr>
      </w:pPr>
      <w:r>
        <w:rPr>
          <w:rFonts w:hint="eastAsia" w:ascii="黑体" w:hAnsi="宋体" w:eastAsia="黑体" w:cs="黑体"/>
          <w:color w:val="000000"/>
          <w:sz w:val="32"/>
          <w:szCs w:val="32"/>
          <w:lang w:eastAsia="zh-CN"/>
        </w:rPr>
        <w:t>十五、改进措施和有关建议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rPr>
      </w:pPr>
      <w:r>
        <w:rPr>
          <w:rFonts w:hint="eastAsia" w:eastAsia="仿宋_GB2312"/>
          <w:sz w:val="32"/>
          <w:szCs w:val="32"/>
          <w:lang w:val="en-US" w:eastAsia="zh-CN"/>
        </w:rPr>
        <w:t>1、</w:t>
      </w:r>
      <w:r>
        <w:rPr>
          <w:rFonts w:hint="eastAsia" w:eastAsia="仿宋_GB2312"/>
          <w:sz w:val="32"/>
          <w:szCs w:val="32"/>
        </w:rPr>
        <w:t>制定有效绩效监控机制，确保绩效目标完成</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rPr>
      </w:pPr>
      <w:r>
        <w:rPr>
          <w:rFonts w:hint="eastAsia" w:eastAsia="仿宋_GB2312"/>
          <w:sz w:val="32"/>
          <w:szCs w:val="32"/>
        </w:rPr>
        <w:t>科学设置预算绩效指标，合理安排经费和各项资金，使其物尽其用，更加贴合我局财务工作的实际情况，能够合理运用现有资源，及时协调并向上级争取资金，保证各预算绩效指标的顺利实施。</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rPr>
        <w:t>科学合理编制预算，严格执行预算</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rPr>
      </w:pPr>
      <w:r>
        <w:rPr>
          <w:rFonts w:hint="eastAsia" w:eastAsia="仿宋_GB2312"/>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w:t>
      </w:r>
      <w:r>
        <w:rPr>
          <w:rFonts w:hint="eastAsia" w:eastAsia="仿宋_GB2312"/>
          <w:sz w:val="32"/>
          <w:szCs w:val="32"/>
          <w:lang w:eastAsia="zh-CN"/>
        </w:rPr>
        <w:t>预算</w:t>
      </w:r>
      <w:r>
        <w:rPr>
          <w:rFonts w:hint="eastAsia" w:eastAsia="仿宋_GB2312"/>
          <w:sz w:val="32"/>
          <w:szCs w:val="32"/>
        </w:rPr>
        <w:t>执行中</w:t>
      </w:r>
      <w:r>
        <w:rPr>
          <w:rFonts w:hint="eastAsia" w:eastAsia="仿宋_GB2312"/>
          <w:sz w:val="32"/>
          <w:szCs w:val="32"/>
          <w:lang w:eastAsia="zh-CN"/>
        </w:rPr>
        <w:t>确</w:t>
      </w:r>
      <w:r>
        <w:rPr>
          <w:rFonts w:hint="eastAsia" w:eastAsia="仿宋_GB2312"/>
          <w:sz w:val="32"/>
          <w:szCs w:val="32"/>
        </w:rPr>
        <w:t>需调剂预算的，按规定程序报经批准。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rPr>
      </w:pPr>
      <w:r>
        <w:rPr>
          <w:rFonts w:hint="eastAsia" w:eastAsia="仿宋_GB2312"/>
          <w:sz w:val="32"/>
          <w:szCs w:val="32"/>
          <w:lang w:val="en-US" w:eastAsia="zh-CN"/>
        </w:rPr>
        <w:t>3、</w:t>
      </w:r>
      <w:r>
        <w:rPr>
          <w:rFonts w:hint="eastAsia" w:eastAsia="仿宋_GB2312"/>
          <w:sz w:val="32"/>
          <w:szCs w:val="32"/>
        </w:rPr>
        <w:t>加强管理，完善内部控制支出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rPr>
      </w:pPr>
      <w:r>
        <w:rPr>
          <w:rFonts w:hint="eastAsia" w:eastAsia="仿宋_GB2312"/>
          <w:sz w:val="32"/>
          <w:szCs w:val="32"/>
          <w:lang w:eastAsia="zh-CN"/>
        </w:rPr>
        <w:t>进一步</w:t>
      </w:r>
      <w:r>
        <w:rPr>
          <w:rFonts w:hint="eastAsia" w:eastAsia="仿宋_GB2312"/>
          <w:sz w:val="32"/>
          <w:szCs w:val="32"/>
        </w:rPr>
        <w:t>完善内部控制建设，形成系统的内部财务管理制度。加强对专项资金的管理，按工作要求加快专项资金</w:t>
      </w:r>
      <w:r>
        <w:rPr>
          <w:rFonts w:hint="eastAsia" w:eastAsia="仿宋_GB2312"/>
          <w:sz w:val="32"/>
          <w:szCs w:val="32"/>
          <w:lang w:eastAsia="zh-CN"/>
        </w:rPr>
        <w:t>执行</w:t>
      </w:r>
      <w:r>
        <w:rPr>
          <w:rFonts w:hint="eastAsia" w:eastAsia="仿宋_GB2312"/>
          <w:sz w:val="32"/>
          <w:szCs w:val="32"/>
        </w:rPr>
        <w:t>进度，切实发挥资金效益。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eastAsia="仿宋_GB2312"/>
          <w:sz w:val="32"/>
          <w:szCs w:val="32"/>
        </w:rPr>
      </w:pPr>
      <w:r>
        <w:rPr>
          <w:rFonts w:hint="eastAsia" w:eastAsia="仿宋_GB2312"/>
          <w:sz w:val="32"/>
          <w:szCs w:val="32"/>
          <w:lang w:val="en-US" w:eastAsia="zh-CN"/>
        </w:rPr>
        <w:t>4、</w:t>
      </w:r>
      <w:r>
        <w:rPr>
          <w:rFonts w:hint="eastAsia" w:eastAsia="仿宋_GB2312"/>
          <w:sz w:val="32"/>
          <w:szCs w:val="32"/>
        </w:rPr>
        <w:t>强化学习培训，提高思想认识</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pPr>
      <w:r>
        <w:rPr>
          <w:rFonts w:hint="eastAsia" w:eastAsia="仿宋_GB2312"/>
          <w:sz w:val="32"/>
          <w:szCs w:val="32"/>
        </w:rPr>
        <w:t>加强新《预算法》、《政府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pStyle w:val="4"/>
        <w:keepNext w:val="0"/>
        <w:keepLines w:val="0"/>
        <w:widowControl/>
        <w:suppressLineNumbers w:val="0"/>
        <w:spacing w:before="0" w:beforeAutospacing="0" w:after="20" w:afterAutospacing="0"/>
        <w:ind w:left="0" w:right="0" w:firstLine="640"/>
        <w:rPr>
          <w:rFonts w:hint="eastAsia" w:ascii="仿宋_GB2312" w:eastAsia="仿宋_GB2312" w:cs="仿宋_GB2312"/>
          <w:sz w:val="32"/>
          <w:szCs w:val="32"/>
          <w:lang w:eastAsia="zh-CN"/>
        </w:rPr>
      </w:pPr>
    </w:p>
    <w:p>
      <w:pPr>
        <w:pStyle w:val="4"/>
        <w:keepNext w:val="0"/>
        <w:keepLines w:val="0"/>
        <w:widowControl/>
        <w:suppressLineNumbers w:val="0"/>
        <w:spacing w:before="0" w:beforeAutospacing="0" w:after="20" w:afterAutospacing="0"/>
      </w:pPr>
    </w:p>
    <w:p>
      <w:pPr>
        <w:pStyle w:val="4"/>
        <w:keepNext w:val="0"/>
        <w:keepLines w:val="0"/>
        <w:widowControl/>
        <w:suppressLineNumbers w:val="0"/>
        <w:spacing w:before="0" w:beforeAutospacing="0" w:after="20" w:afterAutospacing="0"/>
      </w:pPr>
    </w:p>
    <w:p>
      <w:pPr>
        <w:pStyle w:val="4"/>
        <w:keepNext w:val="0"/>
        <w:keepLines w:val="0"/>
        <w:widowControl/>
        <w:suppressLineNumbers w:val="0"/>
        <w:spacing w:before="0" w:beforeAutospacing="0" w:after="20" w:afterAutospacing="0"/>
      </w:pPr>
    </w:p>
    <w:p>
      <w:pPr>
        <w:pStyle w:val="4"/>
        <w:keepNext w:val="0"/>
        <w:keepLines w:val="0"/>
        <w:widowControl/>
        <w:suppressLineNumbers w:val="0"/>
        <w:spacing w:before="0" w:beforeAutospacing="0" w:after="20" w:afterAutospacing="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9010AC"/>
    <w:multiLevelType w:val="singleLevel"/>
    <w:tmpl w:val="2F9010AC"/>
    <w:lvl w:ilvl="0" w:tentative="0">
      <w:start w:val="1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MzIyZGNkYTZiYjE0OGMzMWNkYWFkNjU2Y2Q3MjIifQ=="/>
  </w:docVars>
  <w:rsids>
    <w:rsidRoot w:val="00000000"/>
    <w:rsid w:val="036300D0"/>
    <w:rsid w:val="0922463B"/>
    <w:rsid w:val="11D95040"/>
    <w:rsid w:val="12C34799"/>
    <w:rsid w:val="12E50BB3"/>
    <w:rsid w:val="27767BD4"/>
    <w:rsid w:val="2E786212"/>
    <w:rsid w:val="35466E38"/>
    <w:rsid w:val="37225683"/>
    <w:rsid w:val="3C4340D1"/>
    <w:rsid w:val="3C9130FB"/>
    <w:rsid w:val="3EE80F60"/>
    <w:rsid w:val="547213CC"/>
    <w:rsid w:val="59723DF0"/>
    <w:rsid w:val="6A305323"/>
    <w:rsid w:val="6E7527C4"/>
    <w:rsid w:val="7C232FFC"/>
    <w:rsid w:val="7CA659DB"/>
    <w:rsid w:val="7D342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note text"/>
    <w:basedOn w:val="1"/>
    <w:next w:val="1"/>
    <w:qFormat/>
    <w:uiPriority w:val="0"/>
    <w:pPr>
      <w:snapToGrid w:val="0"/>
      <w:jc w:val="left"/>
    </w:pPr>
    <w:rPr>
      <w:rFonts w:ascii="Times New Roman" w:hAnsi="Times New Roman" w:eastAsia="宋体" w:cs="Times New Roman"/>
      <w:sz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5642</Words>
  <Characters>6094</Characters>
  <Lines>0</Lines>
  <Paragraphs>0</Paragraphs>
  <TotalTime>6</TotalTime>
  <ScaleCrop>false</ScaleCrop>
  <LinksUpToDate>false</LinksUpToDate>
  <CharactersWithSpaces>6096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王慧</cp:lastModifiedBy>
  <dcterms:modified xsi:type="dcterms:W3CDTF">2023-10-08T07:22:34Z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8B0E8DBD60A74FC29E7852C3F289ACAA</vt:lpwstr>
  </property>
</Properties>
</file>