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9" w:beforeLines="50" w:after="159" w:afterLines="50"/>
        <w:jc w:val="center"/>
        <w:rPr>
          <w:rFonts w:hint="eastAsia" w:ascii="方正小标宋简体" w:eastAsia="方正小标宋简体" w:cs="宋体"/>
          <w:kern w:val="0"/>
          <w:sz w:val="44"/>
          <w:szCs w:val="44"/>
          <w:highlight w:val="none"/>
          <w:lang w:eastAsia="zh-CN"/>
        </w:rPr>
      </w:pPr>
      <w:r>
        <w:rPr>
          <w:rFonts w:hint="eastAsia" w:ascii="方正小标宋简体" w:eastAsia="方正小标宋简体" w:cs="宋体"/>
          <w:kern w:val="0"/>
          <w:sz w:val="44"/>
          <w:szCs w:val="44"/>
          <w:highlight w:val="none"/>
          <w:lang w:eastAsia="zh-CN"/>
        </w:rPr>
        <w:t>长沙市芙蓉区现代服务业发展中心</w:t>
      </w:r>
      <w:r>
        <w:rPr>
          <w:rFonts w:hint="eastAsia" w:ascii="方正小标宋简体" w:eastAsia="方正小标宋简体" w:cs="宋体"/>
          <w:kern w:val="0"/>
          <w:sz w:val="44"/>
          <w:szCs w:val="44"/>
          <w:highlight w:val="none"/>
          <w:lang w:val="en-US" w:eastAsia="zh-CN"/>
        </w:rPr>
        <w:t>2021年</w:t>
      </w:r>
      <w:r>
        <w:rPr>
          <w:rFonts w:hint="eastAsia" w:ascii="方正小标宋简体" w:eastAsia="方正小标宋简体" w:cs="宋体"/>
          <w:kern w:val="0"/>
          <w:sz w:val="44"/>
          <w:szCs w:val="44"/>
          <w:highlight w:val="none"/>
          <w:lang w:eastAsia="zh-CN"/>
        </w:rPr>
        <w:t>部门整体支出绩效评价报告</w:t>
      </w:r>
    </w:p>
    <w:p>
      <w:pPr>
        <w:spacing w:line="572" w:lineRule="exact"/>
        <w:ind w:firstLine="640" w:firstLineChars="200"/>
        <w:rPr>
          <w:rFonts w:eastAsia="黑体"/>
          <w:kern w:val="0"/>
          <w:sz w:val="32"/>
          <w:szCs w:val="32"/>
        </w:rPr>
      </w:pPr>
      <w:r>
        <w:rPr>
          <w:rFonts w:hint="eastAsia" w:eastAsia="黑体"/>
          <w:kern w:val="0"/>
          <w:sz w:val="32"/>
          <w:szCs w:val="32"/>
        </w:rPr>
        <w:t>一、部门概况</w:t>
      </w:r>
    </w:p>
    <w:p>
      <w:pPr>
        <w:pStyle w:val="4"/>
        <w:spacing w:before="225" w:beforeAutospacing="0" w:after="225" w:afterAutospacing="0" w:line="420" w:lineRule="atLeast"/>
        <w:ind w:firstLine="640" w:firstLineChars="200"/>
        <w:jc w:val="both"/>
        <w:rPr>
          <w:rFonts w:hint="eastAsia" w:ascii="仿宋_GB2312" w:eastAsia="仿宋_GB2312"/>
          <w:color w:val="000000"/>
          <w:kern w:val="2"/>
          <w:sz w:val="28"/>
          <w:lang w:eastAsia="zh-CN"/>
        </w:rPr>
      </w:pPr>
      <w:r>
        <w:rPr>
          <w:rFonts w:hint="eastAsia" w:eastAsia="仿宋_GB2312"/>
          <w:sz w:val="32"/>
          <w:szCs w:val="32"/>
        </w:rPr>
        <w:t>（</w:t>
      </w:r>
      <w:r>
        <w:rPr>
          <w:rFonts w:hint="eastAsia" w:ascii="宋体" w:hAnsi="宋体" w:cs="宋体"/>
          <w:sz w:val="32"/>
          <w:szCs w:val="32"/>
        </w:rPr>
        <w:t>一</w:t>
      </w:r>
      <w:r>
        <w:rPr>
          <w:rFonts w:hint="eastAsia" w:ascii="Malgun Gothic Semilight" w:hAnsi="Malgun Gothic Semilight" w:eastAsia="Malgun Gothic Semilight" w:cs="Malgun Gothic Semilight"/>
          <w:sz w:val="32"/>
          <w:szCs w:val="32"/>
        </w:rPr>
        <w:t>）</w:t>
      </w:r>
      <w:r>
        <w:rPr>
          <w:rFonts w:hint="eastAsia" w:ascii="仿宋_GB2312" w:eastAsia="仿宋_GB2312"/>
          <w:color w:val="000000"/>
          <w:kern w:val="2"/>
          <w:sz w:val="28"/>
          <w:lang w:val="en-US" w:eastAsia="zh-CN"/>
        </w:rPr>
        <w:t>2021年度，现代服务业发展中心的主要职能职责是</w:t>
      </w:r>
      <w:r>
        <w:rPr>
          <w:rFonts w:hint="eastAsia" w:ascii="仿宋_GB2312" w:eastAsia="仿宋_GB2312"/>
          <w:color w:val="000000"/>
          <w:kern w:val="2"/>
          <w:sz w:val="28"/>
        </w:rPr>
        <w:t>贯彻执行国家、省、市、区有关促进楼宇经济、现代服务业发展的法律法规、方针政策。负责全区楼宇管理服务</w:t>
      </w:r>
      <w:r>
        <w:rPr>
          <w:rFonts w:hint="eastAsia" w:ascii="仿宋_GB2312" w:eastAsia="仿宋_GB2312"/>
          <w:color w:val="000000"/>
          <w:kern w:val="2"/>
          <w:sz w:val="28"/>
          <w:lang w:eastAsia="zh-CN"/>
        </w:rPr>
        <w:t>及招商相关工作</w:t>
      </w:r>
      <w:r>
        <w:rPr>
          <w:rFonts w:hint="eastAsia" w:ascii="仿宋_GB2312" w:eastAsia="仿宋_GB2312"/>
          <w:color w:val="000000"/>
          <w:kern w:val="2"/>
          <w:sz w:val="28"/>
        </w:rPr>
        <w:t>，为区域楼宇经济发展提供组织、协调</w:t>
      </w:r>
      <w:r>
        <w:rPr>
          <w:rFonts w:hint="eastAsia" w:ascii="仿宋_GB2312" w:eastAsia="仿宋_GB2312"/>
          <w:color w:val="000000"/>
          <w:kern w:val="2"/>
          <w:sz w:val="28"/>
          <w:lang w:eastAsia="zh-CN"/>
        </w:rPr>
        <w:t>及</w:t>
      </w:r>
      <w:r>
        <w:rPr>
          <w:rFonts w:hint="eastAsia" w:ascii="仿宋_GB2312" w:eastAsia="仿宋_GB2312"/>
          <w:color w:val="000000"/>
          <w:kern w:val="2"/>
          <w:sz w:val="28"/>
        </w:rPr>
        <w:t>服务。负责督促落实区现代服务业工作的各项部署，组织协调区现代服务业发展日常工作。负责楼宇、企业的相关服务工作，</w:t>
      </w:r>
      <w:r>
        <w:rPr>
          <w:rFonts w:hint="eastAsia" w:ascii="仿宋_GB2312" w:eastAsia="仿宋_GB2312"/>
          <w:color w:val="000000"/>
          <w:kern w:val="2"/>
          <w:sz w:val="28"/>
          <w:lang w:eastAsia="zh-CN"/>
        </w:rPr>
        <w:t>招引楼宇企业、</w:t>
      </w:r>
      <w:r>
        <w:rPr>
          <w:rFonts w:hint="eastAsia" w:ascii="仿宋_GB2312" w:eastAsia="仿宋_GB2312"/>
          <w:color w:val="000000"/>
          <w:kern w:val="2"/>
          <w:sz w:val="28"/>
        </w:rPr>
        <w:t>搭建服务平台</w:t>
      </w:r>
      <w:r>
        <w:rPr>
          <w:rFonts w:hint="eastAsia" w:ascii="仿宋_GB2312" w:eastAsia="仿宋_GB2312"/>
          <w:color w:val="000000"/>
          <w:kern w:val="2"/>
          <w:sz w:val="28"/>
          <w:lang w:eastAsia="zh-CN"/>
        </w:rPr>
        <w:t>、</w:t>
      </w:r>
      <w:r>
        <w:rPr>
          <w:rFonts w:hint="eastAsia" w:ascii="仿宋_GB2312" w:eastAsia="仿宋_GB2312"/>
          <w:color w:val="000000"/>
          <w:kern w:val="2"/>
          <w:sz w:val="28"/>
        </w:rPr>
        <w:t>优化营商环境。承办区委、区政府交办的其他事项。</w:t>
      </w:r>
      <w:r>
        <w:rPr>
          <w:rFonts w:hint="eastAsia" w:ascii="仿宋_GB2312" w:eastAsia="仿宋_GB2312"/>
          <w:color w:val="000000"/>
          <w:kern w:val="2"/>
          <w:sz w:val="28"/>
          <w:lang w:eastAsia="zh-CN"/>
        </w:rPr>
        <w:t>现代服务业发展中心属于全额拨款事业单位，公益一类，机构设置根据编办核定只有本级，内设科室</w:t>
      </w:r>
      <w:r>
        <w:rPr>
          <w:rFonts w:hint="eastAsia" w:ascii="仿宋_GB2312" w:eastAsia="仿宋_GB2312"/>
          <w:color w:val="000000"/>
          <w:kern w:val="2"/>
          <w:sz w:val="28"/>
          <w:lang w:val="en-US" w:eastAsia="zh-CN"/>
        </w:rPr>
        <w:t>3个</w:t>
      </w:r>
      <w:r>
        <w:rPr>
          <w:rFonts w:hint="eastAsia" w:ascii="仿宋_GB2312" w:eastAsia="仿宋_GB2312"/>
          <w:color w:val="000000"/>
          <w:kern w:val="2"/>
          <w:sz w:val="28"/>
          <w:lang w:eastAsia="zh-CN"/>
        </w:rPr>
        <w:t>。部门财政供养人员编制数1</w:t>
      </w:r>
      <w:r>
        <w:rPr>
          <w:rFonts w:hint="eastAsia" w:ascii="仿宋_GB2312" w:eastAsia="仿宋_GB2312"/>
          <w:color w:val="000000"/>
          <w:kern w:val="2"/>
          <w:sz w:val="28"/>
          <w:lang w:val="en-US" w:eastAsia="zh-CN"/>
        </w:rPr>
        <w:t>1</w:t>
      </w:r>
      <w:r>
        <w:rPr>
          <w:rFonts w:hint="eastAsia" w:ascii="仿宋_GB2312" w:eastAsia="仿宋_GB2312"/>
          <w:color w:val="000000"/>
          <w:kern w:val="2"/>
          <w:sz w:val="28"/>
          <w:lang w:eastAsia="zh-CN"/>
        </w:rPr>
        <w:t>人、实际在职人数1</w:t>
      </w:r>
      <w:r>
        <w:rPr>
          <w:rFonts w:hint="eastAsia" w:ascii="仿宋_GB2312" w:eastAsia="仿宋_GB2312"/>
          <w:color w:val="000000"/>
          <w:kern w:val="2"/>
          <w:sz w:val="28"/>
          <w:lang w:val="en-US" w:eastAsia="zh-CN"/>
        </w:rPr>
        <w:t>1</w:t>
      </w:r>
      <w:r>
        <w:rPr>
          <w:rFonts w:hint="eastAsia" w:ascii="仿宋_GB2312" w:eastAsia="仿宋_GB2312"/>
          <w:color w:val="000000"/>
          <w:kern w:val="2"/>
          <w:sz w:val="28"/>
          <w:lang w:eastAsia="zh-CN"/>
        </w:rPr>
        <w:t>人。按照绩效考核要求，本年度</w:t>
      </w:r>
      <w:r>
        <w:rPr>
          <w:rFonts w:hint="eastAsia" w:ascii="仿宋_GB2312" w:eastAsia="仿宋_GB2312"/>
          <w:color w:val="000000"/>
          <w:kern w:val="2"/>
          <w:sz w:val="28"/>
        </w:rPr>
        <w:t>着力提质楼宇经济，大力发展服务业，各项工作进展顺利，保持了良好的发展态势</w:t>
      </w:r>
      <w:r>
        <w:rPr>
          <w:rFonts w:hint="eastAsia" w:ascii="仿宋_GB2312" w:eastAsia="仿宋_GB2312"/>
          <w:color w:val="000000"/>
          <w:kern w:val="2"/>
          <w:sz w:val="28"/>
          <w:lang w:eastAsia="zh-CN"/>
        </w:rPr>
        <w:t>。</w:t>
      </w:r>
    </w:p>
    <w:p>
      <w:pPr>
        <w:ind w:firstLine="640" w:firstLineChars="200"/>
        <w:rPr>
          <w:rFonts w:hint="eastAsia" w:ascii="仿宋_GB2312" w:eastAsia="仿宋_GB2312"/>
          <w:color w:val="000000"/>
          <w:sz w:val="28"/>
          <w:lang w:val="en-US" w:eastAsia="zh-CN"/>
        </w:rPr>
      </w:pPr>
      <w:r>
        <w:rPr>
          <w:rFonts w:hint="eastAsia" w:eastAsia="仿宋_GB2312"/>
          <w:sz w:val="32"/>
          <w:szCs w:val="32"/>
        </w:rPr>
        <w:t>（</w:t>
      </w:r>
      <w:r>
        <w:rPr>
          <w:rFonts w:hint="eastAsia" w:ascii="宋体" w:hAnsi="宋体" w:cs="宋体"/>
          <w:sz w:val="32"/>
          <w:szCs w:val="32"/>
        </w:rPr>
        <w:t>二</w:t>
      </w:r>
      <w:r>
        <w:rPr>
          <w:rFonts w:hint="eastAsia" w:ascii="Malgun Gothic Semilight" w:hAnsi="Malgun Gothic Semilight" w:eastAsia="Malgun Gothic Semilight" w:cs="Malgun Gothic Semilight"/>
          <w:sz w:val="32"/>
          <w:szCs w:val="32"/>
        </w:rPr>
        <w:t>）</w:t>
      </w:r>
      <w:r>
        <w:rPr>
          <w:rFonts w:hint="eastAsia" w:ascii="仿宋_GB2312" w:eastAsia="仿宋_GB2312"/>
          <w:color w:val="000000"/>
          <w:sz w:val="28"/>
        </w:rPr>
        <w:t>2</w:t>
      </w:r>
      <w:r>
        <w:rPr>
          <w:rFonts w:hint="eastAsia" w:ascii="仿宋_GB2312" w:eastAsia="仿宋_GB2312"/>
          <w:color w:val="000000"/>
          <w:sz w:val="28"/>
          <w:lang w:eastAsia="zh-CN"/>
        </w:rPr>
        <w:t>021</w:t>
      </w:r>
      <w:r>
        <w:rPr>
          <w:rFonts w:hint="eastAsia" w:ascii="仿宋_GB2312" w:eastAsia="仿宋_GB2312"/>
          <w:color w:val="000000"/>
          <w:sz w:val="28"/>
        </w:rPr>
        <w:t>年</w:t>
      </w:r>
      <w:r>
        <w:rPr>
          <w:rFonts w:hint="eastAsia" w:ascii="仿宋_GB2312" w:eastAsia="仿宋_GB2312"/>
          <w:color w:val="000000"/>
          <w:sz w:val="28"/>
          <w:lang w:val="en-US" w:eastAsia="zh-CN"/>
        </w:rPr>
        <w:t>度总收入808.79万元，总支出892.57万元。与2020年相比，收入减少655.29万元，减少44.76%，支出减少410.14万元，减少31.48%，主要是因为2021年产业扶持奖励、产业引导专项资金等项目支出</w:t>
      </w:r>
      <w:r>
        <w:rPr>
          <w:rFonts w:hint="eastAsia" w:ascii="仿宋_GB2312" w:eastAsia="仿宋_GB2312"/>
          <w:color w:val="000000"/>
          <w:sz w:val="28"/>
          <w:lang w:eastAsia="zh-CN"/>
        </w:rPr>
        <w:t>减少</w:t>
      </w:r>
      <w:r>
        <w:rPr>
          <w:rFonts w:hint="eastAsia" w:ascii="仿宋_GB2312" w:eastAsia="仿宋_GB2312"/>
          <w:color w:val="000000"/>
          <w:sz w:val="28"/>
          <w:lang w:val="en-US" w:eastAsia="zh-CN"/>
        </w:rPr>
        <w:t>。</w:t>
      </w:r>
    </w:p>
    <w:p>
      <w:pPr>
        <w:spacing w:line="572" w:lineRule="exact"/>
        <w:ind w:firstLine="640" w:firstLineChars="200"/>
        <w:rPr>
          <w:rFonts w:eastAsia="仿宋_GB2312"/>
          <w:sz w:val="32"/>
          <w:szCs w:val="32"/>
        </w:rPr>
      </w:pPr>
    </w:p>
    <w:p>
      <w:pPr>
        <w:spacing w:line="572" w:lineRule="exact"/>
        <w:ind w:firstLine="640" w:firstLineChars="200"/>
        <w:rPr>
          <w:rFonts w:eastAsia="黑体"/>
          <w:kern w:val="0"/>
          <w:sz w:val="32"/>
          <w:szCs w:val="32"/>
        </w:rPr>
      </w:pPr>
      <w:r>
        <w:rPr>
          <w:rFonts w:hint="eastAsia" w:eastAsia="黑体"/>
          <w:kern w:val="0"/>
          <w:sz w:val="32"/>
          <w:szCs w:val="32"/>
        </w:rPr>
        <w:t>二、部门整体支出管理及使用情况</w:t>
      </w:r>
    </w:p>
    <w:p>
      <w:pPr>
        <w:ind w:firstLine="560" w:firstLineChars="200"/>
        <w:rPr>
          <w:rFonts w:hint="eastAsia" w:ascii="仿宋_GB2312" w:eastAsia="仿宋_GB2312"/>
          <w:color w:val="000000"/>
          <w:sz w:val="28"/>
        </w:rPr>
      </w:pPr>
      <w:r>
        <w:rPr>
          <w:rFonts w:hint="eastAsia" w:ascii="仿宋_GB2312" w:eastAsia="仿宋_GB2312"/>
          <w:color w:val="000000"/>
          <w:sz w:val="28"/>
          <w:lang w:val="en-US" w:eastAsia="zh-CN"/>
        </w:rPr>
        <w:t>2021</w:t>
      </w:r>
      <w:r>
        <w:rPr>
          <w:rFonts w:hint="eastAsia" w:ascii="仿宋_GB2312" w:eastAsia="仿宋_GB2312"/>
          <w:color w:val="000000"/>
          <w:sz w:val="28"/>
        </w:rPr>
        <w:t>年度财政拨款基本支出321.86万元，占本年财政拨款支出</w:t>
      </w:r>
      <w:r>
        <w:rPr>
          <w:rFonts w:hint="eastAsia" w:ascii="仿宋_GB2312" w:eastAsia="仿宋_GB2312"/>
          <w:color w:val="000000"/>
          <w:sz w:val="28"/>
          <w:lang w:val="en-US" w:eastAsia="zh-CN"/>
        </w:rPr>
        <w:t>36.05</w:t>
      </w:r>
      <w:r>
        <w:rPr>
          <w:rFonts w:hint="eastAsia" w:ascii="仿宋_GB2312" w:eastAsia="仿宋_GB2312"/>
          <w:color w:val="000000"/>
          <w:sz w:val="28"/>
        </w:rPr>
        <w:t>%。其中：人员经费</w:t>
      </w:r>
      <w:r>
        <w:rPr>
          <w:rFonts w:hint="eastAsia" w:ascii="仿宋_GB2312" w:eastAsia="仿宋_GB2312"/>
          <w:color w:val="000000"/>
          <w:sz w:val="28"/>
          <w:lang w:val="en-US" w:eastAsia="zh-CN"/>
        </w:rPr>
        <w:t>292.02</w:t>
      </w:r>
      <w:r>
        <w:rPr>
          <w:rFonts w:hint="eastAsia" w:ascii="仿宋_GB2312" w:eastAsia="仿宋_GB2312"/>
          <w:color w:val="000000"/>
          <w:sz w:val="28"/>
        </w:rPr>
        <w:t>万元，占基本支出</w:t>
      </w:r>
      <w:r>
        <w:rPr>
          <w:rFonts w:hint="eastAsia" w:ascii="仿宋_GB2312" w:eastAsia="仿宋_GB2312"/>
          <w:color w:val="000000"/>
          <w:sz w:val="28"/>
          <w:lang w:val="en-US" w:eastAsia="zh-CN"/>
        </w:rPr>
        <w:t>90.73</w:t>
      </w:r>
      <w:r>
        <w:rPr>
          <w:rFonts w:hint="eastAsia" w:ascii="仿宋_GB2312" w:eastAsia="仿宋_GB2312"/>
          <w:color w:val="000000"/>
          <w:sz w:val="28"/>
        </w:rPr>
        <w:t>%，主要包括基本工资、津贴补贴、奖金、伙食补助费、绩效工资、机关事业单位基本养老保险缴费、职工基本医疗保险缴费、公务员医疗补助缴费、其他社会保障缴费、住房公积金、其他工资福利支出、对个人和家庭的补助；公用经费</w:t>
      </w:r>
      <w:r>
        <w:rPr>
          <w:rFonts w:hint="eastAsia" w:ascii="仿宋_GB2312" w:eastAsia="仿宋_GB2312"/>
          <w:color w:val="000000"/>
          <w:sz w:val="28"/>
          <w:lang w:val="en-US" w:eastAsia="zh-CN"/>
        </w:rPr>
        <w:t>29.84</w:t>
      </w:r>
      <w:r>
        <w:rPr>
          <w:rFonts w:hint="eastAsia" w:ascii="仿宋_GB2312" w:eastAsia="仿宋_GB2312"/>
          <w:color w:val="000000"/>
          <w:sz w:val="28"/>
        </w:rPr>
        <w:t>万元，占基本支出</w:t>
      </w:r>
      <w:r>
        <w:rPr>
          <w:rFonts w:hint="eastAsia" w:ascii="仿宋_GB2312" w:eastAsia="仿宋_GB2312"/>
          <w:color w:val="000000"/>
          <w:sz w:val="28"/>
          <w:lang w:val="en-US" w:eastAsia="zh-CN"/>
        </w:rPr>
        <w:t>9.27</w:t>
      </w:r>
      <w:r>
        <w:rPr>
          <w:rFonts w:hint="eastAsia" w:ascii="仿宋_GB2312" w:eastAsia="仿宋_GB2312"/>
          <w:color w:val="000000"/>
          <w:sz w:val="28"/>
        </w:rPr>
        <w:t>%，主要包括办公费、邮电费、印刷费、咨询费、</w:t>
      </w:r>
      <w:r>
        <w:rPr>
          <w:rFonts w:hint="eastAsia" w:ascii="仿宋_GB2312" w:eastAsia="仿宋_GB2312"/>
          <w:color w:val="000000"/>
          <w:sz w:val="28"/>
          <w:lang w:val="en-US" w:eastAsia="zh-CN"/>
        </w:rPr>
        <w:t>物业管理费、</w:t>
      </w:r>
      <w:r>
        <w:rPr>
          <w:rFonts w:hint="eastAsia" w:ascii="仿宋_GB2312" w:eastAsia="仿宋_GB2312"/>
          <w:color w:val="000000"/>
          <w:sz w:val="28"/>
        </w:rPr>
        <w:t>公务接待费、劳务费、委托业务费、工会经费、福利费、公务用车运行维护费、其他商品和服务支出。</w:t>
      </w:r>
      <w:r>
        <w:rPr>
          <w:rFonts w:hint="eastAsia" w:ascii="仿宋_GB2312" w:eastAsia="仿宋_GB2312"/>
          <w:color w:val="000000"/>
          <w:sz w:val="28"/>
          <w:lang w:val="en-US" w:eastAsia="zh-CN"/>
        </w:rPr>
        <w:t>2021年度</w:t>
      </w:r>
      <w:r>
        <w:rPr>
          <w:rFonts w:hint="eastAsia" w:ascii="仿宋_GB2312" w:eastAsia="仿宋_GB2312"/>
          <w:color w:val="000000"/>
          <w:sz w:val="28"/>
        </w:rPr>
        <w:t>“三公”经费支出决算数为</w:t>
      </w:r>
      <w:r>
        <w:rPr>
          <w:rFonts w:hint="eastAsia" w:ascii="仿宋_GB2312" w:eastAsia="仿宋_GB2312"/>
          <w:color w:val="000000"/>
          <w:sz w:val="28"/>
          <w:lang w:val="en-US" w:eastAsia="zh-CN"/>
        </w:rPr>
        <w:t>1.47</w:t>
      </w:r>
      <w:r>
        <w:rPr>
          <w:rFonts w:hint="eastAsia" w:ascii="仿宋_GB2312" w:eastAsia="仿宋_GB2312"/>
          <w:color w:val="000000"/>
          <w:sz w:val="28"/>
        </w:rPr>
        <w:t>万元，</w:t>
      </w:r>
      <w:r>
        <w:rPr>
          <w:rFonts w:hint="eastAsia" w:ascii="仿宋_GB2312" w:eastAsia="仿宋_GB2312"/>
          <w:color w:val="000000"/>
          <w:sz w:val="28"/>
          <w:lang w:eastAsia="zh-CN"/>
        </w:rPr>
        <w:t>其中</w:t>
      </w:r>
      <w:r>
        <w:rPr>
          <w:rFonts w:hint="eastAsia" w:ascii="仿宋_GB2312" w:eastAsia="仿宋_GB2312"/>
          <w:color w:val="000000"/>
          <w:sz w:val="28"/>
        </w:rPr>
        <w:t>公务接待费支出决算</w:t>
      </w:r>
      <w:r>
        <w:rPr>
          <w:rFonts w:hint="eastAsia" w:ascii="仿宋_GB2312" w:eastAsia="仿宋_GB2312"/>
          <w:color w:val="000000"/>
          <w:sz w:val="28"/>
          <w:lang w:val="en-US" w:eastAsia="zh-CN"/>
        </w:rPr>
        <w:t>1.38</w:t>
      </w:r>
      <w:r>
        <w:rPr>
          <w:rFonts w:hint="eastAsia" w:ascii="仿宋_GB2312" w:eastAsia="仿宋_GB2312"/>
          <w:color w:val="000000"/>
          <w:sz w:val="28"/>
        </w:rPr>
        <w:t>万元，占</w:t>
      </w:r>
      <w:r>
        <w:rPr>
          <w:rFonts w:hint="eastAsia" w:ascii="仿宋_GB2312" w:eastAsia="仿宋_GB2312"/>
          <w:color w:val="000000"/>
          <w:sz w:val="28"/>
          <w:lang w:val="en-US" w:eastAsia="zh-CN"/>
        </w:rPr>
        <w:t>93.87</w:t>
      </w:r>
      <w:r>
        <w:rPr>
          <w:rFonts w:hint="eastAsia" w:ascii="仿宋_GB2312" w:eastAsia="仿宋_GB2312"/>
          <w:color w:val="000000"/>
          <w:sz w:val="28"/>
        </w:rPr>
        <w:t>%。</w:t>
      </w:r>
      <w:r>
        <w:rPr>
          <w:rFonts w:hint="eastAsia" w:ascii="仿宋_GB2312" w:eastAsia="仿宋_GB2312"/>
          <w:color w:val="000000"/>
          <w:sz w:val="28"/>
          <w:lang w:eastAsia="zh-CN"/>
        </w:rPr>
        <w:t>现代服务业发展中心</w:t>
      </w:r>
      <w:r>
        <w:rPr>
          <w:rFonts w:hint="eastAsia" w:ascii="仿宋_GB2312" w:eastAsia="仿宋_GB2312"/>
          <w:color w:val="000000"/>
          <w:sz w:val="28"/>
        </w:rPr>
        <w:t>认真</w:t>
      </w:r>
      <w:bookmarkStart w:id="0" w:name="_GoBack"/>
      <w:r>
        <w:rPr>
          <w:rFonts w:hint="eastAsia" w:ascii="仿宋_GB2312" w:eastAsia="仿宋_GB2312"/>
          <w:color w:val="000000"/>
          <w:sz w:val="28"/>
        </w:rPr>
        <w:t>贯彻落实中央</w:t>
      </w:r>
      <w:bookmarkEnd w:id="0"/>
      <w:r>
        <w:rPr>
          <w:rFonts w:hint="eastAsia" w:ascii="仿宋_GB2312" w:eastAsia="仿宋_GB2312"/>
          <w:color w:val="000000"/>
          <w:sz w:val="28"/>
        </w:rPr>
        <w:t>八项规定精神和厉行节约要求，从严控制了公用经费和“三公”经费开支。</w:t>
      </w:r>
    </w:p>
    <w:p>
      <w:pPr>
        <w:spacing w:line="572" w:lineRule="exact"/>
        <w:ind w:firstLine="640" w:firstLineChars="200"/>
        <w:rPr>
          <w:rFonts w:eastAsia="黑体"/>
          <w:kern w:val="0"/>
          <w:sz w:val="32"/>
          <w:szCs w:val="32"/>
        </w:rPr>
      </w:pPr>
      <w:r>
        <w:rPr>
          <w:rFonts w:hint="eastAsia" w:eastAsia="黑体"/>
          <w:kern w:val="0"/>
          <w:sz w:val="32"/>
          <w:szCs w:val="32"/>
        </w:rPr>
        <w:t>三、部门项目组织实施情况</w:t>
      </w:r>
    </w:p>
    <w:p>
      <w:pPr>
        <w:ind w:firstLine="560" w:firstLineChars="200"/>
        <w:rPr>
          <w:rFonts w:hint="eastAsia" w:ascii="仿宋_GB2312" w:eastAsia="仿宋_GB2312"/>
          <w:color w:val="000000"/>
          <w:sz w:val="28"/>
        </w:rPr>
      </w:pPr>
      <w:r>
        <w:rPr>
          <w:rFonts w:hint="eastAsia" w:ascii="仿宋_GB2312" w:eastAsia="仿宋_GB2312"/>
          <w:color w:val="000000"/>
          <w:sz w:val="28"/>
          <w:lang w:val="en-US" w:eastAsia="zh-CN"/>
        </w:rPr>
        <w:t>现代服务业发展中心</w:t>
      </w:r>
      <w:r>
        <w:rPr>
          <w:rFonts w:hint="eastAsia" w:ascii="仿宋_GB2312" w:eastAsia="仿宋_GB2312"/>
          <w:color w:val="000000"/>
          <w:sz w:val="28"/>
        </w:rPr>
        <w:t>对</w:t>
      </w:r>
      <w:r>
        <w:rPr>
          <w:rFonts w:hint="eastAsia" w:ascii="仿宋_GB2312" w:eastAsia="仿宋_GB2312"/>
          <w:color w:val="000000"/>
          <w:sz w:val="28"/>
          <w:lang w:val="en-US" w:eastAsia="zh-CN"/>
        </w:rPr>
        <w:t>2021年</w:t>
      </w:r>
      <w:r>
        <w:rPr>
          <w:rFonts w:hint="eastAsia" w:ascii="仿宋_GB2312" w:eastAsia="仿宋_GB2312"/>
          <w:color w:val="000000"/>
          <w:sz w:val="28"/>
        </w:rPr>
        <w:t>部门重点项目支出：CBD联盟、楼宇服务中心费用、现代服务业、楼宇经济（商贸）信息平台、产业扶持、产业引导等项目进行逐项分析检查评价</w:t>
      </w:r>
      <w:r>
        <w:rPr>
          <w:rFonts w:hint="eastAsia" w:ascii="仿宋_GB2312" w:eastAsia="仿宋_GB2312"/>
          <w:color w:val="000000"/>
          <w:sz w:val="28"/>
          <w:lang w:eastAsia="zh-CN"/>
        </w:rPr>
        <w:t>，</w:t>
      </w:r>
      <w:r>
        <w:rPr>
          <w:rFonts w:hint="eastAsia" w:ascii="仿宋_GB2312" w:eastAsia="仿宋_GB2312"/>
          <w:color w:val="000000"/>
          <w:sz w:val="28"/>
        </w:rPr>
        <w:t>在资金分配、财务管理</w:t>
      </w:r>
      <w:r>
        <w:rPr>
          <w:rFonts w:hint="eastAsia" w:ascii="仿宋_GB2312" w:eastAsia="仿宋_GB2312"/>
          <w:color w:val="000000"/>
          <w:sz w:val="28"/>
          <w:lang w:eastAsia="zh-CN"/>
        </w:rPr>
        <w:t>上</w:t>
      </w:r>
      <w:r>
        <w:rPr>
          <w:rFonts w:hint="eastAsia" w:ascii="仿宋_GB2312" w:eastAsia="仿宋_GB2312"/>
          <w:color w:val="000000"/>
          <w:sz w:val="28"/>
        </w:rPr>
        <w:t>总体执行情况较好，产出成果达到了预期的绩效目标，依据部门的投入、过程、产出及效益等四方面进行自行评价结果优。</w:t>
      </w:r>
    </w:p>
    <w:p>
      <w:pPr>
        <w:adjustRightInd w:val="0"/>
        <w:snapToGrid w:val="0"/>
        <w:spacing w:line="600" w:lineRule="exact"/>
        <w:ind w:firstLine="640" w:firstLineChars="200"/>
        <w:rPr>
          <w:rFonts w:eastAsia="黑体"/>
          <w:sz w:val="32"/>
          <w:szCs w:val="32"/>
        </w:rPr>
      </w:pPr>
      <w:r>
        <w:rPr>
          <w:rFonts w:hint="eastAsia" w:eastAsia="黑体"/>
          <w:sz w:val="32"/>
          <w:szCs w:val="32"/>
        </w:rPr>
        <w:t>四、资产管理情况</w:t>
      </w:r>
    </w:p>
    <w:p>
      <w:pPr>
        <w:ind w:firstLine="560" w:firstLineChars="200"/>
        <w:rPr>
          <w:rFonts w:hint="eastAsia" w:ascii="仿宋_GB2312" w:eastAsia="仿宋_GB2312"/>
          <w:color w:val="000000"/>
          <w:sz w:val="28"/>
          <w:lang w:eastAsia="zh-CN"/>
        </w:rPr>
      </w:pPr>
      <w:r>
        <w:rPr>
          <w:rFonts w:hint="eastAsia" w:ascii="仿宋_GB2312" w:eastAsia="仿宋_GB2312"/>
          <w:color w:val="000000"/>
          <w:sz w:val="28"/>
          <w:lang w:eastAsia="zh-CN"/>
        </w:rPr>
        <w:t>2021</w:t>
      </w:r>
      <w:r>
        <w:rPr>
          <w:rFonts w:hint="eastAsia" w:ascii="仿宋_GB2312" w:eastAsia="仿宋_GB2312"/>
          <w:color w:val="000000"/>
          <w:sz w:val="28"/>
        </w:rPr>
        <w:t>年</w:t>
      </w:r>
      <w:r>
        <w:rPr>
          <w:rFonts w:hint="eastAsia" w:ascii="仿宋_GB2312" w:eastAsia="仿宋_GB2312"/>
          <w:color w:val="000000"/>
          <w:sz w:val="28"/>
          <w:lang w:eastAsia="zh-CN"/>
        </w:rPr>
        <w:t>现代服务业发展中心</w:t>
      </w:r>
      <w:r>
        <w:rPr>
          <w:rFonts w:hint="eastAsia" w:ascii="仿宋_GB2312" w:eastAsia="仿宋_GB2312"/>
          <w:color w:val="000000"/>
          <w:sz w:val="28"/>
        </w:rPr>
        <w:t>新增</w:t>
      </w:r>
      <w:r>
        <w:rPr>
          <w:rFonts w:hint="eastAsia" w:ascii="仿宋_GB2312" w:eastAsia="仿宋_GB2312"/>
          <w:color w:val="000000"/>
          <w:sz w:val="28"/>
          <w:lang w:eastAsia="zh-CN"/>
        </w:rPr>
        <w:t>了一批</w:t>
      </w:r>
      <w:r>
        <w:rPr>
          <w:rFonts w:hint="eastAsia" w:ascii="仿宋_GB2312" w:eastAsia="仿宋_GB2312"/>
          <w:color w:val="000000"/>
          <w:sz w:val="28"/>
        </w:rPr>
        <w:t>资产，</w:t>
      </w:r>
      <w:r>
        <w:rPr>
          <w:rFonts w:hint="eastAsia" w:ascii="仿宋_GB2312" w:eastAsia="仿宋_GB2312"/>
          <w:color w:val="000000"/>
          <w:sz w:val="28"/>
          <w:lang w:eastAsia="zh-CN"/>
        </w:rPr>
        <w:t>均按要求录入国资系统和账目，账实相符。</w:t>
      </w:r>
    </w:p>
    <w:p>
      <w:pPr>
        <w:adjustRightInd w:val="0"/>
        <w:snapToGrid w:val="0"/>
        <w:spacing w:line="600" w:lineRule="exact"/>
        <w:ind w:firstLine="640" w:firstLineChars="200"/>
        <w:rPr>
          <w:rFonts w:eastAsia="黑体"/>
          <w:sz w:val="32"/>
          <w:szCs w:val="32"/>
        </w:rPr>
      </w:pPr>
      <w:r>
        <w:rPr>
          <w:rFonts w:hint="eastAsia" w:eastAsia="黑体"/>
          <w:sz w:val="32"/>
          <w:szCs w:val="32"/>
        </w:rPr>
        <w:t>五、部门整体支出绩效情况</w:t>
      </w:r>
    </w:p>
    <w:p>
      <w:pPr>
        <w:adjustRightInd w:val="0"/>
        <w:snapToGrid w:val="0"/>
        <w:spacing w:line="600" w:lineRule="exact"/>
        <w:ind w:firstLine="560" w:firstLineChars="200"/>
        <w:rPr>
          <w:rFonts w:hint="eastAsia" w:ascii="仿宋_GB2312" w:hAnsi="Times New Roman" w:eastAsia="仿宋_GB2312" w:cs="Times New Roman"/>
          <w:color w:val="000000"/>
          <w:sz w:val="28"/>
          <w:lang w:val="en-US" w:eastAsia="zh-CN"/>
        </w:rPr>
      </w:pPr>
      <w:r>
        <w:rPr>
          <w:rFonts w:hint="eastAsia" w:ascii="仿宋_GB2312" w:eastAsia="仿宋_GB2312"/>
          <w:color w:val="000000"/>
          <w:sz w:val="28"/>
          <w:lang w:val="en-US" w:eastAsia="zh-CN"/>
        </w:rPr>
        <w:t>20</w:t>
      </w:r>
      <w:r>
        <w:rPr>
          <w:rFonts w:hint="eastAsia" w:ascii="仿宋_GB2312" w:hAnsi="Times New Roman" w:eastAsia="仿宋_GB2312" w:cs="Times New Roman"/>
          <w:color w:val="000000"/>
          <w:sz w:val="28"/>
          <w:lang w:val="en-US" w:eastAsia="zh-CN"/>
        </w:rPr>
        <w:t>21年度现代服务业发展中心围绕市、区绩效考核目标，依托楼宇资源，突出发展总部经济，聚焦</w:t>
      </w:r>
      <w:r>
        <w:rPr>
          <w:rFonts w:hint="eastAsia" w:ascii="仿宋_GB2312" w:hAnsi="Times New Roman" w:eastAsia="仿宋_GB2312" w:cs="Times New Roman"/>
          <w:color w:val="000000"/>
          <w:sz w:val="28"/>
          <w:lang w:eastAsia="zh-CN"/>
        </w:rPr>
        <w:t>做大做强芙蓉中央商务区。</w:t>
      </w:r>
      <w:r>
        <w:rPr>
          <w:rFonts w:hint="eastAsia" w:ascii="仿宋_GB2312" w:hAnsi="Times New Roman" w:eastAsia="仿宋_GB2312" w:cs="Times New Roman"/>
          <w:color w:val="000000"/>
          <w:sz w:val="28"/>
          <w:lang w:val="en-US" w:eastAsia="zh-CN"/>
        </w:rPr>
        <w:t>2021年三季度全区实现服务业增加值 863.18亿元，同比增长10.5％，增长贡献率22.76%。增速内五区排名第二，全市排名第二，增长贡献率内五区第一，按市对区绩效考核规则，我区三季度服务业增加值综合成绩排名第一。充分利用我区优质楼宇资源，积极引进优质企业入驻我区。截至2021年11月，湖南西子电商品牌管理有限公司美妆业务总部入驻项目已成功签约；中交机电工程局第五工程有限公司入驻项目已过区招商快速决策机制会议，正在履行协议手续；中化石油湖南有限公司入驻项目已过区招商快速决策机制会议，待上区长办公会最终确认。其他项目如中化四建、中法神舟达索等项目正在积极洽谈跟进中。</w:t>
      </w:r>
      <w:r>
        <w:rPr>
          <w:rFonts w:hint="eastAsia" w:ascii="仿宋_GB2312" w:hAnsi="Times New Roman" w:eastAsia="仿宋_GB2312" w:cs="Times New Roman"/>
          <w:color w:val="000000"/>
          <w:sz w:val="28"/>
          <w:lang w:eastAsia="zh-CN"/>
        </w:rPr>
        <w:t>通过芙蓉区“520企业服务日”等活动，加强长沙国金中心等高端楼宇资源推介，依托“芙蓉楼宇”微信公众号、</w:t>
      </w:r>
      <w:r>
        <w:rPr>
          <w:rFonts w:hint="eastAsia" w:ascii="仿宋_GB2312" w:hAnsi="Times New Roman" w:eastAsia="仿宋_GB2312" w:cs="Times New Roman"/>
          <w:color w:val="000000"/>
          <w:sz w:val="28"/>
          <w:lang w:val="en-US" w:eastAsia="zh-CN"/>
        </w:rPr>
        <w:t>楼宇微信群</w:t>
      </w:r>
      <w:r>
        <w:rPr>
          <w:rFonts w:hint="eastAsia" w:ascii="仿宋_GB2312" w:hAnsi="Times New Roman" w:eastAsia="仿宋_GB2312" w:cs="Times New Roman"/>
          <w:color w:val="000000"/>
          <w:sz w:val="28"/>
          <w:lang w:eastAsia="zh-CN"/>
        </w:rPr>
        <w:t>和楼宇服务站，做好楼宇资源信息发布和资源对接。依托湖南投资、佳兆业广场等楼宇资源，持续培育金融、跨境电商等特色楼宇。截至2021年11月底，全区62栋重点商务楼宇，新增市场主体1032个，完成净招商面积15.09万㎡。实行部门联楼宇，充分调动部门力量，助力楼宇挖潜增效。</w:t>
      </w:r>
      <w:r>
        <w:rPr>
          <w:rFonts w:hint="eastAsia" w:ascii="仿宋_GB2312" w:hAnsi="Times New Roman" w:eastAsia="仿宋_GB2312" w:cs="Times New Roman"/>
          <w:color w:val="000000"/>
          <w:sz w:val="28"/>
          <w:lang w:val="en-US" w:eastAsia="zh-CN"/>
        </w:rPr>
        <w:t>2021</w:t>
      </w:r>
      <w:r>
        <w:rPr>
          <w:rFonts w:hint="eastAsia" w:ascii="仿宋_GB2312" w:hAnsi="Times New Roman" w:eastAsia="仿宋_GB2312" w:cs="Times New Roman"/>
          <w:color w:val="000000"/>
          <w:sz w:val="28"/>
          <w:lang w:eastAsia="zh-CN"/>
        </w:rPr>
        <w:t>年迁转</w:t>
      </w:r>
      <w:r>
        <w:rPr>
          <w:rFonts w:hint="eastAsia" w:ascii="仿宋_GB2312" w:hAnsi="Times New Roman" w:eastAsia="仿宋_GB2312" w:cs="Times New Roman"/>
          <w:color w:val="000000"/>
          <w:sz w:val="28"/>
          <w:lang w:val="en-US" w:eastAsia="zh-CN"/>
        </w:rPr>
        <w:t>湖南投资集团、</w:t>
      </w:r>
      <w:r>
        <w:rPr>
          <w:rFonts w:hint="default" w:ascii="仿宋_GB2312" w:hAnsi="Times New Roman" w:eastAsia="仿宋_GB2312" w:cs="Times New Roman"/>
          <w:color w:val="000000"/>
          <w:sz w:val="28"/>
          <w:lang w:val="en-US" w:eastAsia="zh-CN"/>
        </w:rPr>
        <w:t>太平养老保险股份有限公司湖南分公司</w:t>
      </w:r>
      <w:r>
        <w:rPr>
          <w:rFonts w:hint="eastAsia" w:ascii="仿宋_GB2312" w:hAnsi="Times New Roman" w:eastAsia="仿宋_GB2312" w:cs="Times New Roman"/>
          <w:color w:val="000000"/>
          <w:sz w:val="28"/>
          <w:lang w:val="en-US" w:eastAsia="zh-CN"/>
        </w:rPr>
        <w:t>等</w:t>
      </w:r>
      <w:r>
        <w:rPr>
          <w:rFonts w:hint="eastAsia" w:ascii="仿宋_GB2312" w:hAnsi="Times New Roman" w:eastAsia="仿宋_GB2312" w:cs="Times New Roman"/>
          <w:color w:val="000000"/>
          <w:sz w:val="28"/>
          <w:lang w:eastAsia="zh-CN"/>
        </w:rPr>
        <w:t>市场主体167家，转性</w:t>
      </w:r>
      <w:r>
        <w:rPr>
          <w:rFonts w:hint="eastAsia" w:ascii="仿宋_GB2312" w:hAnsi="Times New Roman" w:eastAsia="仿宋_GB2312" w:cs="Times New Roman"/>
          <w:color w:val="000000"/>
          <w:sz w:val="28"/>
          <w:lang w:val="en-US" w:eastAsia="zh-CN"/>
        </w:rPr>
        <w:t>长沙得力集什商贸有限公司等市场主体</w:t>
      </w:r>
      <w:r>
        <w:rPr>
          <w:rFonts w:hint="eastAsia" w:ascii="仿宋_GB2312" w:hAnsi="Times New Roman" w:eastAsia="仿宋_GB2312" w:cs="Times New Roman"/>
          <w:color w:val="000000"/>
          <w:sz w:val="28"/>
          <w:lang w:eastAsia="zh-CN"/>
        </w:rPr>
        <w:t>11家，新增</w:t>
      </w:r>
      <w:r>
        <w:rPr>
          <w:rFonts w:hint="eastAsia" w:ascii="仿宋_GB2312" w:hAnsi="Times New Roman" w:eastAsia="仿宋_GB2312" w:cs="Times New Roman"/>
          <w:color w:val="000000"/>
          <w:sz w:val="28"/>
          <w:lang w:val="en-US" w:eastAsia="zh-CN"/>
        </w:rPr>
        <w:t>湖南房车宝信息科技有限公司等</w:t>
      </w:r>
      <w:r>
        <w:rPr>
          <w:rFonts w:hint="eastAsia" w:ascii="仿宋_GB2312" w:hAnsi="Times New Roman" w:eastAsia="仿宋_GB2312" w:cs="Times New Roman"/>
          <w:color w:val="000000"/>
          <w:sz w:val="28"/>
          <w:lang w:eastAsia="zh-CN"/>
        </w:rPr>
        <w:t xml:space="preserve">“四上”单位49家。 </w:t>
      </w:r>
      <w:r>
        <w:rPr>
          <w:rFonts w:hint="eastAsia" w:ascii="仿宋_GB2312" w:hAnsi="Times New Roman" w:eastAsia="仿宋_GB2312" w:cs="Times New Roman"/>
          <w:color w:val="000000"/>
          <w:sz w:val="28"/>
          <w:lang w:val="en-US" w:eastAsia="zh-CN"/>
        </w:rPr>
        <w:t>联合税务局、行政审批局、数据资源中心等单位，建成</w:t>
      </w:r>
      <w:r>
        <w:rPr>
          <w:rFonts w:hint="eastAsia" w:ascii="仿宋_GB2312" w:hAnsi="Times New Roman" w:eastAsia="仿宋_GB2312" w:cs="Times New Roman"/>
          <w:color w:val="000000"/>
          <w:sz w:val="28"/>
          <w:lang w:eastAsia="zh-CN"/>
        </w:rPr>
        <w:t>全省首个“24小时楼宇服务微厅”，</w:t>
      </w:r>
      <w:r>
        <w:rPr>
          <w:rFonts w:hint="eastAsia" w:ascii="仿宋_GB2312" w:hAnsi="Times New Roman" w:eastAsia="仿宋_GB2312" w:cs="Times New Roman"/>
          <w:color w:val="000000"/>
          <w:sz w:val="28"/>
          <w:lang w:val="en-US" w:eastAsia="zh-CN"/>
        </w:rPr>
        <w:t>吸引了湖南经视、长沙晚报、红网等媒体关注报道</w:t>
      </w:r>
      <w:r>
        <w:rPr>
          <w:rFonts w:hint="eastAsia" w:ascii="仿宋_GB2312" w:hAnsi="Times New Roman" w:eastAsia="仿宋_GB2312" w:cs="Times New Roman"/>
          <w:color w:val="000000"/>
          <w:sz w:val="28"/>
          <w:lang w:eastAsia="zh-CN"/>
        </w:rPr>
        <w:t>。</w:t>
      </w:r>
      <w:r>
        <w:rPr>
          <w:rFonts w:hint="eastAsia" w:ascii="仿宋_GB2312" w:hAnsi="Times New Roman" w:eastAsia="仿宋_GB2312" w:cs="Times New Roman"/>
          <w:color w:val="000000"/>
          <w:sz w:val="28"/>
          <w:lang w:val="en-US" w:eastAsia="zh-CN"/>
        </w:rPr>
        <w:t>协同推进农行八角亭5G智慧政务厅建设，开创政银政务服务合作新模式。</w:t>
      </w:r>
      <w:r>
        <w:rPr>
          <w:rFonts w:hint="eastAsia" w:ascii="仿宋_GB2312" w:hAnsi="Times New Roman" w:eastAsia="仿宋_GB2312" w:cs="Times New Roman"/>
          <w:color w:val="000000"/>
          <w:sz w:val="28"/>
          <w:lang w:eastAsia="zh-CN"/>
        </w:rPr>
        <w:t>建成世茂环球楼宇服务站，</w:t>
      </w:r>
      <w:r>
        <w:rPr>
          <w:rFonts w:hint="eastAsia" w:ascii="仿宋_GB2312" w:hAnsi="Times New Roman" w:eastAsia="仿宋_GB2312" w:cs="Times New Roman"/>
          <w:color w:val="000000"/>
          <w:sz w:val="28"/>
          <w:lang w:val="en-US" w:eastAsia="zh-CN"/>
        </w:rPr>
        <w:t>全区楼宇服务站已达17个。</w:t>
      </w:r>
    </w:p>
    <w:p>
      <w:pPr>
        <w:adjustRightInd w:val="0"/>
        <w:snapToGrid w:val="0"/>
        <w:spacing w:line="600" w:lineRule="exact"/>
        <w:ind w:firstLine="640" w:firstLineChars="200"/>
        <w:rPr>
          <w:rFonts w:eastAsia="黑体"/>
          <w:sz w:val="32"/>
          <w:szCs w:val="32"/>
        </w:rPr>
      </w:pPr>
      <w:r>
        <w:rPr>
          <w:rFonts w:hint="eastAsia" w:eastAsia="黑体"/>
          <w:sz w:val="32"/>
          <w:szCs w:val="32"/>
        </w:rPr>
        <w:t>六、存在的主要问题</w:t>
      </w:r>
    </w:p>
    <w:p>
      <w:pPr>
        <w:pStyle w:val="4"/>
        <w:spacing w:before="0" w:beforeAutospacing="0" w:after="0" w:afterAutospacing="0"/>
        <w:ind w:firstLine="560" w:firstLineChars="200"/>
        <w:jc w:val="both"/>
        <w:rPr>
          <w:rFonts w:hint="eastAsia" w:ascii="仿宋_GB2312" w:hAnsi="Times New Roman" w:eastAsia="仿宋_GB2312" w:cs="Times New Roman"/>
          <w:color w:val="000000"/>
          <w:kern w:val="2"/>
          <w:sz w:val="28"/>
          <w:szCs w:val="21"/>
          <w:lang w:val="en-US" w:eastAsia="zh-CN" w:bidi="ar-SA"/>
        </w:rPr>
      </w:pPr>
      <w:r>
        <w:rPr>
          <w:rFonts w:hint="eastAsia" w:ascii="仿宋_GB2312" w:eastAsia="仿宋_GB2312"/>
          <w:color w:val="000000"/>
          <w:sz w:val="28"/>
          <w:lang w:val="en-US" w:eastAsia="zh-CN"/>
        </w:rPr>
        <w:t>现代服务业发展中心</w:t>
      </w:r>
      <w:r>
        <w:rPr>
          <w:rFonts w:hint="eastAsia" w:ascii="仿宋_GB2312" w:hAnsi="Times New Roman" w:eastAsia="仿宋_GB2312" w:cs="Times New Roman"/>
          <w:color w:val="000000"/>
          <w:kern w:val="2"/>
          <w:sz w:val="28"/>
          <w:szCs w:val="21"/>
          <w:lang w:val="en-US" w:eastAsia="zh-CN" w:bidi="ar-SA"/>
        </w:rPr>
        <w:t>在资金使用上，有一些专项资金没有有效预估且无法估计费用，在具体使用过程中，可能造成多次调整预算的现象。</w:t>
      </w:r>
    </w:p>
    <w:p>
      <w:pPr>
        <w:adjustRightInd w:val="0"/>
        <w:snapToGrid w:val="0"/>
        <w:spacing w:line="600" w:lineRule="exact"/>
        <w:ind w:firstLine="640" w:firstLineChars="200"/>
        <w:rPr>
          <w:rFonts w:eastAsia="黑体"/>
          <w:sz w:val="32"/>
          <w:szCs w:val="32"/>
        </w:rPr>
      </w:pPr>
      <w:r>
        <w:rPr>
          <w:rFonts w:hint="eastAsia" w:eastAsia="黑体"/>
          <w:sz w:val="32"/>
          <w:szCs w:val="32"/>
        </w:rPr>
        <w:t>七、改进措施和有关建议</w:t>
      </w:r>
    </w:p>
    <w:p>
      <w:pPr>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1、细化预算编制工作，认真做好预算的编制。进一步加强内部机构的预算管理意识，严格按照预算编制的相关制度和要求，本着“勤俭节约、保障运转”的原则进行预算的编制;编制范围尽可能地全面、不漏项，进一步提高预算编制的科学性、合理性、严谨性和可控性。</w:t>
      </w:r>
    </w:p>
    <w:p>
      <w:pPr>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2、在日常预算管理过程中，进一步加强预算支出的审核、跟踪及预算执行情况分析。</w:t>
      </w:r>
    </w:p>
    <w:p>
      <w:pPr>
        <w:ind w:firstLine="560" w:firstLineChars="200"/>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3、加强管理，严格执行单位财务制度。</w:t>
      </w:r>
    </w:p>
    <w:p>
      <w:pPr>
        <w:rPr>
          <w:rFonts w:hint="eastAsia" w:ascii="仿宋_GB2312" w:hAnsi="Times New Roman" w:eastAsia="仿宋_GB2312" w:cs="Times New Roman"/>
          <w:color w:val="000000"/>
          <w:kern w:val="2"/>
          <w:sz w:val="28"/>
          <w:szCs w:val="21"/>
          <w:lang w:val="en-US" w:eastAsia="zh-CN" w:bidi="ar-SA"/>
        </w:rPr>
      </w:pPr>
    </w:p>
    <w:p>
      <w:pPr>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 xml:space="preserve">                             长沙市芙蓉区</w:t>
      </w:r>
      <w:r>
        <w:rPr>
          <w:rFonts w:hint="eastAsia" w:ascii="仿宋_GB2312" w:eastAsia="仿宋_GB2312" w:cs="Times New Roman"/>
          <w:color w:val="000000"/>
          <w:kern w:val="2"/>
          <w:sz w:val="28"/>
          <w:szCs w:val="21"/>
          <w:lang w:val="en-US" w:eastAsia="zh-CN" w:bidi="ar-SA"/>
        </w:rPr>
        <w:t>现代服务业发展中心</w:t>
      </w:r>
    </w:p>
    <w:p>
      <w:pPr>
        <w:rPr>
          <w:rFonts w:hint="eastAsia" w:ascii="仿宋_GB2312" w:hAnsi="Times New Roman" w:eastAsia="仿宋_GB2312" w:cs="Times New Roman"/>
          <w:color w:val="000000"/>
          <w:kern w:val="2"/>
          <w:sz w:val="28"/>
          <w:szCs w:val="21"/>
          <w:lang w:val="en-US" w:eastAsia="zh-CN" w:bidi="ar-SA"/>
        </w:rPr>
      </w:pPr>
      <w:r>
        <w:rPr>
          <w:rFonts w:hint="eastAsia" w:ascii="仿宋_GB2312" w:hAnsi="Times New Roman" w:eastAsia="仿宋_GB2312" w:cs="Times New Roman"/>
          <w:color w:val="000000"/>
          <w:kern w:val="2"/>
          <w:sz w:val="28"/>
          <w:szCs w:val="21"/>
          <w:lang w:val="en-US" w:eastAsia="zh-CN" w:bidi="ar-SA"/>
        </w:rPr>
        <w:t xml:space="preserve">                                          202</w:t>
      </w:r>
      <w:r>
        <w:rPr>
          <w:rFonts w:hint="eastAsia" w:ascii="仿宋_GB2312" w:eastAsia="仿宋_GB2312" w:cs="Times New Roman"/>
          <w:color w:val="000000"/>
          <w:kern w:val="2"/>
          <w:sz w:val="28"/>
          <w:szCs w:val="21"/>
          <w:lang w:val="en-US" w:eastAsia="zh-CN" w:bidi="ar-SA"/>
        </w:rPr>
        <w:t>2</w:t>
      </w:r>
      <w:r>
        <w:rPr>
          <w:rFonts w:hint="eastAsia" w:ascii="仿宋_GB2312" w:hAnsi="Times New Roman" w:eastAsia="仿宋_GB2312" w:cs="Times New Roman"/>
          <w:color w:val="000000"/>
          <w:kern w:val="2"/>
          <w:sz w:val="28"/>
          <w:szCs w:val="21"/>
          <w:lang w:val="en-US" w:eastAsia="zh-CN" w:bidi="ar-SA"/>
        </w:rPr>
        <w:t>年</w:t>
      </w:r>
      <w:r>
        <w:rPr>
          <w:rFonts w:hint="eastAsia" w:ascii="仿宋_GB2312" w:eastAsia="仿宋_GB2312" w:cs="Times New Roman"/>
          <w:color w:val="000000"/>
          <w:kern w:val="2"/>
          <w:sz w:val="28"/>
          <w:szCs w:val="21"/>
          <w:lang w:val="en-US" w:eastAsia="zh-CN" w:bidi="ar-SA"/>
        </w:rPr>
        <w:t>3</w:t>
      </w:r>
      <w:r>
        <w:rPr>
          <w:rFonts w:hint="eastAsia" w:ascii="仿宋_GB2312" w:hAnsi="Times New Roman" w:eastAsia="仿宋_GB2312" w:cs="Times New Roman"/>
          <w:color w:val="000000"/>
          <w:kern w:val="2"/>
          <w:sz w:val="28"/>
          <w:szCs w:val="21"/>
          <w:lang w:val="en-US" w:eastAsia="zh-CN" w:bidi="ar-SA"/>
        </w:rPr>
        <w:t>月</w:t>
      </w:r>
      <w:r>
        <w:rPr>
          <w:rFonts w:hint="eastAsia" w:ascii="仿宋_GB2312" w:eastAsia="仿宋_GB2312" w:cs="Times New Roman"/>
          <w:color w:val="000000"/>
          <w:kern w:val="2"/>
          <w:sz w:val="28"/>
          <w:szCs w:val="21"/>
          <w:lang w:val="en-US" w:eastAsia="zh-CN" w:bidi="ar-SA"/>
        </w:rPr>
        <w:t>16</w:t>
      </w:r>
      <w:r>
        <w:rPr>
          <w:rFonts w:hint="eastAsia" w:ascii="仿宋_GB2312" w:hAnsi="Times New Roman" w:eastAsia="仿宋_GB2312" w:cs="Times New Roman"/>
          <w:color w:val="000000"/>
          <w:kern w:val="2"/>
          <w:sz w:val="28"/>
          <w:szCs w:val="21"/>
          <w:lang w:val="en-US" w:eastAsia="zh-CN" w:bidi="ar-SA"/>
        </w:rPr>
        <w:t>日</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永中宋体">
    <w:altName w:val="宋体"/>
    <w:panose1 w:val="00000000000000000000"/>
    <w:charset w:val="7A"/>
    <w:family w:val="auto"/>
    <w:pitch w:val="default"/>
    <w:sig w:usb0="00000000" w:usb1="00000000" w:usb2="00000000" w:usb3="00000000" w:csb0="00040001" w:csb1="00000000"/>
  </w:font>
  <w:font w:name="Malgun Gothic">
    <w:panose1 w:val="020B0503020000020004"/>
    <w:charset w:val="81"/>
    <w:family w:val="swiss"/>
    <w:pitch w:val="default"/>
    <w:sig w:usb0="900002AF" w:usb1="01D77CFB" w:usb2="00000012" w:usb3="00000000" w:csb0="00080001" w:csb1="00000000"/>
  </w:font>
  <w:font w:name="方正小标宋简体">
    <w:panose1 w:val="00000600000000000000"/>
    <w:charset w:val="86"/>
    <w:family w:val="script"/>
    <w:pitch w:val="default"/>
    <w:sig w:usb0="800002BF" w:usb1="184F6CF8" w:usb2="00000012" w:usb3="00000000" w:csb0="00160001" w:csb1="12030000"/>
  </w:font>
  <w:font w:name="Malgun Gothic Semilight">
    <w:altName w:val="宋体"/>
    <w:panose1 w:val="020B0502040204020203"/>
    <w:charset w:val="86"/>
    <w:family w:val="swiss"/>
    <w:pitch w:val="default"/>
    <w:sig w:usb0="00000000" w:usb1="00000000" w:usb2="00000012" w:usb3="00000000" w:csb0="003E01B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jZiNjkwOGE3YzdhZWU1NmQwZmI3MzlhNGRiZTEifQ=="/>
  </w:docVars>
  <w:rsids>
    <w:rsidRoot w:val="00000000"/>
    <w:rsid w:val="04514DC1"/>
    <w:rsid w:val="156E24E3"/>
    <w:rsid w:val="1A5763B5"/>
    <w:rsid w:val="1EB917CA"/>
    <w:rsid w:val="317C6954"/>
    <w:rsid w:val="33E343AB"/>
    <w:rsid w:val="546754B9"/>
    <w:rsid w:val="592973D8"/>
    <w:rsid w:val="5BCF459A"/>
    <w:rsid w:val="5C226EF6"/>
    <w:rsid w:val="74845571"/>
    <w:rsid w:val="797F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永中宋体" w:hAnsi="永中宋体" w:eastAsia="黑体"/>
    </w:rPr>
  </w:style>
  <w:style w:type="paragraph" w:styleId="3">
    <w:name w:val="Body Text"/>
    <w:basedOn w:val="1"/>
    <w:qFormat/>
    <w:uiPriority w:val="0"/>
    <w:pPr>
      <w:spacing w:after="120"/>
    </w:pPr>
    <w:rPr>
      <w:rFonts w:ascii="Times New Roman" w:hAnsi="Times New Roman"/>
    </w:rPr>
  </w:style>
  <w:style w:type="paragraph" w:styleId="4">
    <w:name w:val="Normal (Web)"/>
    <w:basedOn w:val="1"/>
    <w:qFormat/>
    <w:uiPriority w:val="0"/>
    <w:pPr>
      <w:spacing w:before="100" w:beforeAutospacing="1" w:after="100" w:afterAutospacing="1"/>
      <w:jc w:val="left"/>
    </w:pPr>
    <w:rPr>
      <w:kern w:val="0"/>
      <w:sz w:val="24"/>
      <w:szCs w:val="24"/>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8">
    <w:name w:val="List Paragraph"/>
    <w:basedOn w:val="1"/>
    <w:qFormat/>
    <w:uiPriority w:val="99"/>
    <w:pPr>
      <w:ind w:firstLine="420" w:firstLineChars="200"/>
    </w:pPr>
    <w:rPr>
      <w:rFonts w:ascii="宋体" w:hAnsi="宋体" w:eastAsia="Malgun Gothic"/>
      <w:szCs w:val="24"/>
    </w:rPr>
  </w:style>
  <w:style w:type="paragraph" w:customStyle="1" w:styleId="9">
    <w:name w:val="Table Paragraph"/>
    <w:basedOn w:val="1"/>
    <w:qFormat/>
    <w:uiPriority w:val="0"/>
    <w:rPr>
      <w:rFonts w:ascii="仿宋_GB2312" w:hAnsi="仿宋_GB2312" w:eastAsia="仿宋_GB2312" w:cs="仿宋_GB2312"/>
      <w:lang w:val="zh-CN" w:eastAsia="zh-CN" w:bidi="zh-CN"/>
    </w:rPr>
  </w:style>
  <w:style w:type="paragraph" w:customStyle="1" w:styleId="10">
    <w:name w:val="BodyText1I"/>
    <w:basedOn w:val="11"/>
    <w:qFormat/>
    <w:uiPriority w:val="0"/>
    <w:pPr>
      <w:spacing w:after="120"/>
      <w:ind w:firstLine="420" w:firstLineChars="100"/>
      <w:jc w:val="both"/>
      <w:textAlignment w:val="baseline"/>
    </w:pPr>
    <w:rPr>
      <w:rFonts w:ascii="永中宋体" w:hAnsi="永中宋体" w:eastAsia="黑体"/>
      <w:kern w:val="2"/>
      <w:sz w:val="21"/>
      <w:szCs w:val="24"/>
      <w:lang w:val="en-US" w:eastAsia="zh-CN" w:bidi="ar-SA"/>
    </w:rPr>
  </w:style>
  <w:style w:type="paragraph" w:customStyle="1" w:styleId="11">
    <w:name w:val="BodyText"/>
    <w:basedOn w:val="1"/>
    <w:qFormat/>
    <w:uiPriority w:val="0"/>
    <w:pPr>
      <w:spacing w:after="120"/>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1943</Words>
  <Characters>2094</Characters>
  <Lines>0</Lines>
  <Paragraphs>0</Paragraphs>
  <TotalTime>17</TotalTime>
  <ScaleCrop>false</ScaleCrop>
  <LinksUpToDate>false</LinksUpToDate>
  <CharactersWithSpaces>2167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2022-04-01T09:06:00Z</cp:lastPrinted>
  <dcterms:modified xsi:type="dcterms:W3CDTF">2023-06-09T06:33:56Z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A5610166DAB24BC997587984AF5CC6BD</vt:lpwstr>
  </property>
</Properties>
</file>