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芙蓉区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市政设施维护中心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公务出行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交通费用报销管理暂行办法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第一条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芙蓉区市政设施维护中心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工作人员在单位常驻地范围内公务出行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第二条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本办法所指的工作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员是指未发放公务交通补贴的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芙蓉区市政设施维护中心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在编在职人员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含政府雇员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第三条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本办法所指公务出行的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</w:t>
      </w:r>
      <w:r>
        <w:rPr>
          <w:rFonts w:hint="eastAsia" w:ascii="仿宋_GB2312" w:hAnsi="仿宋_GB2312" w:eastAsia="仿宋_GB2312" w:cs="仿宋_GB2312"/>
          <w:sz w:val="32"/>
          <w:szCs w:val="32"/>
        </w:rPr>
        <w:t>用范围，是指单位工作人员在单位常驻地范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</w:t>
      </w:r>
      <w:r>
        <w:rPr>
          <w:rFonts w:hint="eastAsia" w:ascii="仿宋_GB2312" w:hAnsi="仿宋_GB2312" w:eastAsia="仿宋_GB2312" w:cs="仿宋_GB2312"/>
          <w:sz w:val="32"/>
          <w:szCs w:val="32"/>
        </w:rPr>
        <w:t>内从事的公务活动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具体保障范围为：芙蓉区、天心区、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岳麓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开福区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雨花区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望城区（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镇除外）、长沙县城（星沙街道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泉塘街道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湘龙街道范围内）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驻地范围以外按差旅费管理办法执行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公务出行原则上应乘用社会化交通工具，确因工作任务需要，经单位批准，可乘用非公共交通工具出行。公务出行所发生的交通费用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票</w:t>
      </w:r>
      <w:r>
        <w:rPr>
          <w:rFonts w:hint="eastAsia" w:ascii="仿宋_GB2312" w:hAnsi="仿宋_GB2312" w:eastAsia="仿宋_GB2312" w:cs="仿宋_GB2312"/>
          <w:sz w:val="32"/>
          <w:szCs w:val="32"/>
        </w:rPr>
        <w:t>据实报销，亦可采取按次按距离包干的方式。社会化交通工具包括网约车，出租车，公共交通等。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第五条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凡配有皮卡车的科室，无特殊情况下，公务出行一律首选皮卡车；同科室皮卡车已外出，急需外出办理公务的，经科室长及分管领导批准，可选乘其他公共交通工具，凭票据据实依规报销。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第六条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采取凭票据实报销公务交通费用的，需每次填写《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芙</w:t>
      </w:r>
      <w:r>
        <w:rPr>
          <w:rFonts w:hint="eastAsia" w:ascii="仿宋_GB2312" w:hAnsi="仿宋_GB2312" w:eastAsia="仿宋_GB2312" w:cs="仿宋_GB2312"/>
          <w:sz w:val="32"/>
          <w:szCs w:val="32"/>
        </w:rPr>
        <w:t>蓉区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市政设施维护中心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公务出行报销审批表》（见附表》，写明事由、行程起止地点、时间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信息，提供正规票据（含电子发票），单位逐次审核报销。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第七条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采取按次按距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</w:t>
      </w:r>
      <w:r>
        <w:rPr>
          <w:rFonts w:hint="eastAsia" w:ascii="仿宋_GB2312" w:hAnsi="仿宋_GB2312" w:eastAsia="仿宋_GB2312" w:cs="仿宋_GB2312"/>
          <w:sz w:val="32"/>
          <w:szCs w:val="32"/>
        </w:rPr>
        <w:t>包干方式报销公务交通费用的，每次填写《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芙</w:t>
      </w:r>
      <w:r>
        <w:rPr>
          <w:rFonts w:hint="eastAsia" w:ascii="仿宋_GB2312" w:hAnsi="仿宋_GB2312" w:eastAsia="仿宋_GB2312" w:cs="仿宋_GB2312"/>
          <w:sz w:val="32"/>
          <w:szCs w:val="32"/>
        </w:rPr>
        <w:t>蓉区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市政设施维护中心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报销审批表》的同时，还需提供公务出行相关证明材料（会议通知、文件材料首页复印件等）。按次按距离包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公务交通费用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sz w:val="32"/>
          <w:szCs w:val="32"/>
        </w:rPr>
        <w:t>每批次公务出行公里数（向上取整）×2元/公里，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逐次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审核报销。（如公务出行15.3公里，则报销金额为16x2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=</w:t>
      </w:r>
      <w:r>
        <w:rPr>
          <w:rFonts w:hint="eastAsia" w:ascii="仿宋_GB2312" w:hAnsi="仿宋_GB2312" w:eastAsia="仿宋_GB2312" w:cs="仿宋_GB2312"/>
          <w:sz w:val="32"/>
          <w:szCs w:val="32"/>
        </w:rPr>
        <w:t>32元）出行公里数可使用任何公开的电子地图数据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一次公务出行需要到达两个及以上目的地的，按实际出行顺序及其距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离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计算公务交通费用。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第八条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公务交通费用报销总额度由区公务用车制度改革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</w:t>
      </w:r>
      <w:r>
        <w:rPr>
          <w:rFonts w:hint="eastAsia" w:ascii="仿宋_GB2312" w:hAnsi="仿宋_GB2312" w:eastAsia="仿宋_GB2312" w:cs="仿宋_GB2312"/>
          <w:sz w:val="32"/>
          <w:szCs w:val="32"/>
        </w:rPr>
        <w:t>导小组批准，严格实行额度控制不得超支。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科员（含专业技术人员）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不高于550元每月，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人员不高于530元每月。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第九条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通费用报销应公开透明，单位要在适当范围内定期公开费用报销情况。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第十条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</w:t>
      </w:r>
      <w:r>
        <w:rPr>
          <w:rFonts w:hint="eastAsia" w:ascii="仿宋_GB2312" w:hAnsi="仿宋_GB2312" w:eastAsia="仿宋_GB2312" w:cs="仿宋_GB2312"/>
          <w:sz w:val="32"/>
          <w:szCs w:val="32"/>
        </w:rPr>
        <w:t>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财经纪律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，不得以固定欺额或其他变相包干方式向工作人员发放公务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补贴，正常上下班不计入公务出行范围。严禁报销没有发生公务出行活动的费用，严禁报销非公务车辆的燃油、修理、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停车</w:t>
      </w:r>
      <w:r>
        <w:rPr>
          <w:rFonts w:hint="eastAsia" w:ascii="仿宋_GB2312" w:hAnsi="仿宋_GB2312" w:eastAsia="仿宋_GB2312" w:cs="仿宋_GB2312"/>
          <w:sz w:val="32"/>
          <w:szCs w:val="32"/>
        </w:rPr>
        <w:t>费等费用。对违规审批报销公务交通费用的行为将严肃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追</w:t>
      </w:r>
      <w:r>
        <w:rPr>
          <w:rFonts w:hint="eastAsia" w:ascii="仿宋_GB2312" w:hAnsi="仿宋_GB2312" w:eastAsia="仿宋_GB2312" w:cs="仿宋_GB2312"/>
          <w:sz w:val="32"/>
          <w:szCs w:val="32"/>
        </w:rPr>
        <w:t>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月1日起施行，由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负责解释。省市如有新的规定则按新文件要求执行。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芙蓉区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市政设施维护中心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公务出行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报销审批表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014" w:type="dxa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929"/>
        <w:gridCol w:w="272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申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出行时间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出行事由</w:t>
            </w:r>
          </w:p>
        </w:tc>
        <w:tc>
          <w:tcPr>
            <w:tcW w:w="6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出发地点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目的地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往返里程数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（仅按次包干填写）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/>
                <w:vertAlign w:val="baseline"/>
                <w:lang w:val="en-US" w:eastAsia="zh-CN"/>
              </w:rPr>
              <w:t>公里</w:t>
            </w: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包干报销金额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（仅按次包干填写）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分管领导签字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填报人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01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D076D"/>
    <w:rsid w:val="059D5370"/>
    <w:rsid w:val="0CCD076D"/>
    <w:rsid w:val="31B47581"/>
    <w:rsid w:val="3A9B3F6E"/>
    <w:rsid w:val="50C105DF"/>
    <w:rsid w:val="50ED5946"/>
    <w:rsid w:val="55E01A4C"/>
    <w:rsid w:val="5D4D6318"/>
    <w:rsid w:val="615C2E6F"/>
    <w:rsid w:val="65D61611"/>
    <w:rsid w:val="761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2020-05-25T02:07:00Z</dcterms:created>
  <dc:creator>羽扇纶巾1401250941</dc:creator>
  <cp:lastModifiedBy>羽扇纶巾1401250941</cp:lastModifiedBy>
  <dcterms:modified xsi:type="dcterms:W3CDTF">2020-07-02T06:56:06Z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