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0"/>
        <w:jc w:val="center"/>
        <w:rPr>
          <w:rFonts w:cs="Times New Roman" w:asciiTheme="minorEastAsia" w:hAnsiTheme="minorEastAsia"/>
          <w:b/>
          <w:color w:val="FF0000"/>
          <w:w w:val="66"/>
          <w:kern w:val="0"/>
          <w:sz w:val="100"/>
          <w:szCs w:val="100"/>
        </w:rPr>
      </w:pPr>
      <w:r>
        <w:rPr>
          <w:rFonts w:hint="eastAsia" w:cs="Times New Roman" w:asciiTheme="minorEastAsia" w:hAnsiTheme="minorEastAsia"/>
          <w:b/>
          <w:color w:val="FF0000"/>
          <w:w w:val="66"/>
          <w:kern w:val="0"/>
          <w:sz w:val="100"/>
          <w:szCs w:val="100"/>
        </w:rPr>
        <w:t>长沙市芙蓉区总工会文件</w:t>
      </w:r>
    </w:p>
    <w:p>
      <w:pPr>
        <w:spacing w:line="600" w:lineRule="exact"/>
        <w:ind w:left="638" w:leftChars="304" w:firstLine="2240" w:firstLineChars="700"/>
        <w:jc w:val="both"/>
        <w:rPr>
          <w:rFonts w:hint="eastAsia" w:ascii="仿宋_GB2312" w:hAnsi="仿宋_GB2312" w:eastAsia="仿宋_GB2312" w:cs="仿宋_GB2312"/>
          <w:bCs/>
          <w:kern w:val="0"/>
          <w:position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position w:val="-6"/>
          <w:sz w:val="32"/>
          <w:szCs w:val="32"/>
        </w:rPr>
        <w:t>芙工办发〔2021〕</w:t>
      </w:r>
      <w:r>
        <w:rPr>
          <w:rFonts w:hint="eastAsia" w:ascii="仿宋_GB2312" w:hAnsi="仿宋_GB2312" w:eastAsia="仿宋_GB2312" w:cs="仿宋_GB2312"/>
          <w:bCs/>
          <w:kern w:val="0"/>
          <w:position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position w:val="-6"/>
          <w:sz w:val="32"/>
          <w:szCs w:val="32"/>
        </w:rPr>
        <w:t xml:space="preserve"> 号</w:t>
      </w:r>
    </w:p>
    <w:p>
      <w:pPr>
        <w:spacing w:line="600" w:lineRule="exact"/>
        <w:ind w:left="638" w:leftChars="304" w:firstLine="2240" w:firstLineChars="700"/>
        <w:jc w:val="both"/>
        <w:rPr>
          <w:rFonts w:hint="default" w:ascii="仿宋_GB2312" w:hAnsi="仿宋_GB2312" w:eastAsia="仿宋_GB2312" w:cs="仿宋_GB2312"/>
          <w:bCs/>
          <w:kern w:val="0"/>
          <w:position w:val="-6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99060</wp:posOffset>
                </wp:positionV>
                <wp:extent cx="5842000" cy="10795"/>
                <wp:effectExtent l="33655" t="26670" r="48895" b="768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30325" y="2762250"/>
                          <a:ext cx="5842000" cy="10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pt;margin-top:7.8pt;height:0.85pt;width:460pt;z-index:251659264;mso-width-relative:page;mso-height-relative:page;" filled="f" stroked="t" coordsize="21600,21600" o:gfxdata="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+UUrzXAAAACQEAAA8AAAAAAAAAAQAgAAAAIgAAAGRycy9kb3du&#10;cmV2LnhtbFBLAQIUABQAAAAIAIdO4kB9j8FmOQIAAGEEAAAOAAAAAAAAAAEAIAAAACYBAABkcnMv&#10;ZTJvRG9jLnhtbFBLBQYAAAAABgAGAFkBAADRBQAAAAA=&#10;">
                <v:fill on="f" focussize="0,0"/>
                <v:stroke weight="2pt" color="#FF0000 [3205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spacing w:line="600" w:lineRule="exact"/>
        <w:jc w:val="both"/>
        <w:rPr>
          <w:rFonts w:hint="eastAsia" w:eastAsia="方正小标宋_GBK"/>
          <w:snapToGrid w:val="0"/>
          <w:kern w:val="0"/>
          <w:sz w:val="44"/>
          <w:szCs w:val="44"/>
          <w:lang w:val="en-US" w:eastAsia="zh-CN"/>
        </w:rPr>
      </w:pPr>
    </w:p>
    <w:p>
      <w:pPr>
        <w:spacing w:line="600" w:lineRule="exact"/>
        <w:ind w:left="880" w:hanging="880" w:hangingChars="200"/>
        <w:jc w:val="both"/>
        <w:rPr>
          <w:rFonts w:hint="eastAsia" w:eastAsia="方正小标宋_GBK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snapToGrid w:val="0"/>
          <w:kern w:val="0"/>
          <w:sz w:val="44"/>
          <w:szCs w:val="44"/>
          <w:lang w:val="en-US" w:eastAsia="zh-CN"/>
        </w:rPr>
        <w:t>关于转发《湖南省总工会办公室关于开展第二期职工大病关爱行动的通知》的通知</w:t>
      </w:r>
    </w:p>
    <w:p>
      <w:pPr>
        <w:spacing w:line="600" w:lineRule="exact"/>
        <w:jc w:val="center"/>
        <w:rPr>
          <w:rFonts w:hint="eastAsia" w:eastAsia="方正小标宋_GBK"/>
          <w:snapToGrid w:val="0"/>
          <w:kern w:val="0"/>
          <w:sz w:val="44"/>
          <w:szCs w:val="44"/>
          <w:lang w:val="en-US" w:eastAsia="zh-CN"/>
        </w:rPr>
      </w:pPr>
    </w:p>
    <w:p>
      <w:pPr>
        <w:rPr>
          <w:rFonts w:hint="eastAsia" w:eastAsia="仿宋_GB2312"/>
          <w:snapToGrid w:val="0"/>
          <w:kern w:val="0"/>
          <w:sz w:val="32"/>
          <w:szCs w:val="32"/>
          <w:lang w:val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zh-CN"/>
        </w:rPr>
        <w:t>隆平高科技园、湘湖管理局、各街道办事处，区直机关各单位：</w:t>
      </w:r>
    </w:p>
    <w:p>
      <w:pP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为减轻我区医疗（住院）互助项目补助对象的医疗费用负担，缓解职工家庭困难，现转发《湖南省总工会办公室关于开展第二期职工大病关爱行动的通知》，请参加了医疗互助活动，患重特大疾病、罕见病</w:t>
      </w:r>
      <w:r>
        <w:rPr>
          <w:rFonts w:hint="eastAsia" w:eastAsia="仿宋_GB2312"/>
          <w:snapToGrid w:val="0"/>
          <w:kern w:val="0"/>
          <w:sz w:val="32"/>
          <w:szCs w:val="32"/>
        </w:rPr>
        <w:t>或者其他医疗费用较大的疾病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且</w:t>
      </w:r>
      <w:r>
        <w:rPr>
          <w:rFonts w:hint="eastAsia" w:eastAsia="仿宋_GB2312"/>
          <w:snapToGrid w:val="0"/>
          <w:kern w:val="0"/>
          <w:sz w:val="32"/>
          <w:szCs w:val="32"/>
        </w:rPr>
        <w:t>职工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在此次</w:t>
      </w:r>
      <w:r>
        <w:rPr>
          <w:rFonts w:hint="eastAsia" w:eastAsia="仿宋_GB2312"/>
          <w:snapToGrid w:val="0"/>
          <w:kern w:val="0"/>
          <w:sz w:val="32"/>
          <w:szCs w:val="32"/>
        </w:rPr>
        <w:t>申请前十二个月的住院治疗费用经过各种医疗保险报销、职工医疗互助活动补助、工会帮扶和社会救助后，个人自付治疗费用超过五万元（含五万元）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的职工</w:t>
      </w:r>
      <w:r>
        <w:rPr>
          <w:rFonts w:hint="eastAsia" w:eastAsia="仿宋_GB2312"/>
          <w:snapToGrid w:val="0"/>
          <w:color w:val="FF0000"/>
          <w:kern w:val="0"/>
          <w:sz w:val="32"/>
          <w:szCs w:val="32"/>
          <w:lang w:val="en-US" w:eastAsia="zh-CN"/>
        </w:rPr>
        <w:t>（特别是错过了今年申请医疗互助补助的职工）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，请在2021年9月24日前上报申请资料至芙蓉区总工会717办公室，逾期不予受理。</w:t>
      </w:r>
    </w:p>
    <w:p>
      <w:pPr>
        <w:ind w:firstLine="640" w:firstLineChars="20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联系人：李妍，联系电话84683393。</w:t>
      </w:r>
    </w:p>
    <w:p>
      <w:pPr>
        <w:ind w:firstLine="5760" w:firstLineChars="180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长沙市芙蓉区总工会</w:t>
      </w:r>
    </w:p>
    <w:p>
      <w:pPr>
        <w:jc w:val="center"/>
        <w:rPr>
          <w:rFonts w:hint="default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                                2021年9月14日</w:t>
      </w:r>
    </w:p>
    <w:p>
      <w:pPr>
        <w:jc w:val="righ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湘工办函〔</w:t>
      </w:r>
      <w:r>
        <w:rPr>
          <w:rFonts w:eastAsia="仿宋_GB2312"/>
          <w:snapToGrid w:val="0"/>
          <w:kern w:val="0"/>
          <w:sz w:val="32"/>
          <w:szCs w:val="32"/>
        </w:rPr>
        <w:t>2021</w:t>
      </w:r>
      <w:r>
        <w:rPr>
          <w:rFonts w:hint="eastAsia" w:eastAsia="仿宋_GB2312"/>
          <w:snapToGrid w:val="0"/>
          <w:kern w:val="0"/>
          <w:sz w:val="32"/>
          <w:szCs w:val="32"/>
        </w:rPr>
        <w:t>〕</w:t>
      </w:r>
      <w:r>
        <w:rPr>
          <w:rFonts w:eastAsia="仿宋_GB2312"/>
          <w:snapToGrid w:val="0"/>
          <w:kern w:val="0"/>
          <w:sz w:val="32"/>
          <w:szCs w:val="32"/>
        </w:rPr>
        <w:t>21</w:t>
      </w:r>
      <w:r>
        <w:rPr>
          <w:rFonts w:hint="eastAsia" w:eastAsia="仿宋_GB2312"/>
          <w:snapToGrid w:val="0"/>
          <w:kern w:val="0"/>
          <w:sz w:val="32"/>
          <w:szCs w:val="32"/>
        </w:rPr>
        <w:t>号</w:t>
      </w:r>
    </w:p>
    <w:p>
      <w:pPr>
        <w:jc w:val="center"/>
        <w:rPr>
          <w:rFonts w:eastAsia="仿宋_GB2312"/>
          <w:snapToGrid w:val="0"/>
          <w:kern w:val="0"/>
          <w:sz w:val="32"/>
          <w:szCs w:val="32"/>
        </w:rPr>
      </w:pPr>
    </w:p>
    <w:p>
      <w:pPr>
        <w:jc w:val="center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hint="eastAsia" w:eastAsia="方正小标宋_GBK"/>
          <w:snapToGrid w:val="0"/>
          <w:kern w:val="0"/>
          <w:sz w:val="44"/>
          <w:szCs w:val="44"/>
        </w:rPr>
        <w:t>湖南省总工会办公室</w:t>
      </w:r>
    </w:p>
    <w:p>
      <w:pPr>
        <w:spacing w:line="60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hint="eastAsia" w:eastAsia="方正小标宋_GBK"/>
          <w:snapToGrid w:val="0"/>
          <w:kern w:val="0"/>
          <w:sz w:val="44"/>
          <w:szCs w:val="44"/>
        </w:rPr>
        <w:t>关于开展第二期职工大病关爱行动的通知</w:t>
      </w:r>
    </w:p>
    <w:p>
      <w:pPr>
        <w:jc w:val="center"/>
        <w:rPr>
          <w:rFonts w:eastAsia="仿宋_GB2312"/>
          <w:snapToGrid w:val="0"/>
          <w:kern w:val="0"/>
          <w:sz w:val="32"/>
          <w:szCs w:val="32"/>
        </w:rPr>
      </w:pPr>
    </w:p>
    <w:p>
      <w:pPr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各市州总工会、省直机关工会，省总工会困难职工帮扶中心：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加大为职工群众办实事力度</w:t>
      </w:r>
      <w:r>
        <w:rPr>
          <w:rFonts w:hint="eastAsia" w:eastAsia="仿宋_GB2312"/>
          <w:snapToGrid w:val="0"/>
          <w:kern w:val="0"/>
          <w:sz w:val="32"/>
          <w:szCs w:val="32"/>
        </w:rPr>
        <w:t>，完善困难职工梯度帮扶体系，关心关爱因患重大疾病导致生活困难的职工，省总工会决定在全省开展第二期职工大病关爱行动。现将活动有关事项通知如下：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一、基本原</w:t>
      </w:r>
      <w:r>
        <w:rPr>
          <w:rFonts w:hint="eastAsia" w:hAnsi="黑体" w:eastAsia="黑体"/>
          <w:snapToGrid w:val="0"/>
          <w:kern w:val="0"/>
          <w:sz w:val="32"/>
          <w:szCs w:val="32"/>
        </w:rPr>
        <w:t>则</w:t>
      </w:r>
    </w:p>
    <w:p>
      <w:pPr>
        <w:pStyle w:val="3"/>
        <w:ind w:firstLine="640" w:firstLineChars="200"/>
        <w:jc w:val="both"/>
        <w:rPr>
          <w:snapToGrid w:val="0"/>
          <w:kern w:val="0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职工大病关爱行动，是指针对职工患重大疾病、罕见病或者其他医疗费用高的疾病，且个人自付大额医疗费用又不符合深度困难职工、相对困难职工建档帮扶条件而开展的关爱帮扶行动，是对职工医疗保障体系的有益补充，是困难职工梯度帮扶体系的重要内容。职工大病关爱行动资金在省总工会年初专项预算总额内，实行预算管理。坚持既尽力而为，又量力而行；资金使用既高效温暖，又公开透明。</w:t>
      </w:r>
    </w:p>
    <w:p>
      <w:pPr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二、关爱对象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职工大病关爱行动的帮扶对象需满足下列两项条件：</w:t>
      </w:r>
    </w:p>
    <w:p>
      <w:pPr>
        <w:ind w:firstLine="640" w:firstLineChars="200"/>
        <w:rPr>
          <w:rFonts w:eastAsia="仿宋_GB2312"/>
          <w:i/>
          <w:strike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（一）本省已参加当期或上期职工医疗互助活动的职工（含农民工）；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二）职工个人患重特大疾病、罕见病或者其他医疗费用较大的疾病，且职工申请前十二个月的住院治疗费用经过各种医疗保险报销、职工医疗互助活动补助、工会帮扶和社会救助后，个人自付治疗费用超过五万元（含五万元）。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对有下列情形之一的，不纳入帮扶范围：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（一）已纳入第一期职工大病关爱行动帮扶的；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（二）已纳入帮扶工作管理系统建档的深度困难职工和相对困难职工按照《中央财政专项帮扶资金使用管理办法》等有关规定进行专项帮扶；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（三）因参与或从事违法、违纪、违规行为而产生医疗费用的；因酗酒、自杀、自残行为而产生医疗费用的；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（四）医疗保障部门规定的不予报销医疗费用的情形；法律、法规、规章规定不予帮扶等情形的；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（五）不按要求提供申请资料，拒绝核实情况，隐瞒或不提供证明材料，出具虚假证明的。</w:t>
      </w:r>
    </w:p>
    <w:p>
      <w:pPr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三、帮扶标准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职工申请前十二个月的住院治疗费用经过各种医疗保险报销、职工医疗互助活动补助、工会帮扶和社会救助后，个人自付治疗费用超过五万元（含五万元），不足十万元的，按照一万元的标准给予帮扶；超过十万元（含十万元）的，不足三十万元的，按照二万元的标准给予帮扶；超过三十万（含三十万元）的，按照三万元至五万元的标准给予帮扶。</w:t>
      </w:r>
    </w:p>
    <w:p>
      <w:pPr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四、帮扶流程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（一）申请。</w:t>
      </w:r>
      <w:r>
        <w:rPr>
          <w:rFonts w:hint="eastAsia" w:eastAsia="仿宋_GB2312"/>
          <w:snapToGrid w:val="0"/>
          <w:kern w:val="0"/>
          <w:sz w:val="32"/>
          <w:szCs w:val="32"/>
        </w:rPr>
        <w:t>患大病职工向基层工会提出书面申请，提交《职工大病关爱行动帮扶申请审批表》、职工医疗互助活动补助审批表、职工本人银行卡复印件和工会帮扶、社会救助情况等相关材料。如患大病职工当期和上期所属职工医疗互助关系不同，则向当期职工医疗互助关系所在地申请，不得重复申请。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如申请人符合大病关爱帮扶条件，但是因大病已身故的，则需另外提交死亡证明、受益人与申请人</w:t>
      </w:r>
      <w:bookmarkStart w:id="0" w:name="_GoBack"/>
      <w:bookmarkEnd w:id="0"/>
      <w:r>
        <w:rPr>
          <w:rFonts w:hint="eastAsia" w:eastAsia="仿宋_GB2312"/>
          <w:snapToGrid w:val="0"/>
          <w:kern w:val="0"/>
          <w:sz w:val="32"/>
          <w:szCs w:val="32"/>
        </w:rPr>
        <w:t>关系证明、受益人身份证复印件、受益人银行卡复印件。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（二）审查。</w:t>
      </w:r>
      <w:r>
        <w:rPr>
          <w:rFonts w:hint="eastAsia" w:eastAsia="仿宋_GB2312"/>
          <w:snapToGrid w:val="0"/>
          <w:kern w:val="0"/>
          <w:sz w:val="32"/>
          <w:szCs w:val="32"/>
        </w:rPr>
        <w:t>基层工会对申请人提交的申请进行调查核实和资料核查，符合条件的，按照工会隶属关系报上一级工会。县级总工会、省直属基层工会工作委员会、省产业工会按分级负责的原则，对所属基层工会上报的材料进行审查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（三）审批。</w:t>
      </w:r>
      <w:r>
        <w:rPr>
          <w:rFonts w:hint="eastAsia" w:eastAsia="仿宋_GB2312"/>
          <w:snapToGrid w:val="0"/>
          <w:kern w:val="0"/>
          <w:sz w:val="32"/>
          <w:szCs w:val="32"/>
        </w:rPr>
        <w:t>市（州）总工会、省直机关工会和省总工会困难职工帮扶中心对县级总工会、省直属基层工会工作委员会、省产业工会审查后的申报对象进行审核。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（四）资金分配。</w:t>
      </w:r>
      <w:r>
        <w:rPr>
          <w:rFonts w:hint="eastAsia" w:eastAsia="仿宋_GB2312"/>
          <w:snapToGrid w:val="0"/>
          <w:kern w:val="0"/>
          <w:sz w:val="32"/>
          <w:szCs w:val="32"/>
        </w:rPr>
        <w:t>省总工会权益保障部根据年度职工大病关爱行动帮扶资金预算金额、各地申报帮扶人数和金额，结合各地职工医疗互助参加人数、工会会员数等因素提出资金分配方案。若分配资金额度少于申报资金额度的，不足部分由市（州）总工会、省直机关工会和省总工会困难职工帮扶中心配套解决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（五）发放。</w:t>
      </w:r>
      <w:r>
        <w:rPr>
          <w:rFonts w:hint="eastAsia" w:eastAsia="仿宋_GB2312"/>
          <w:snapToGrid w:val="0"/>
          <w:kern w:val="0"/>
          <w:sz w:val="32"/>
          <w:szCs w:val="32"/>
        </w:rPr>
        <w:t>职工大病关爱资金发放前，应在申请人所在单位或当地职工服务中心（困难职工帮扶中心）进行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个工作日公示。对公示无异议的，通过银行转账方式发放。</w:t>
      </w:r>
    </w:p>
    <w:p>
      <w:pPr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五、工作要求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（一）提高认识，高度重视。</w:t>
      </w:r>
      <w:r>
        <w:rPr>
          <w:rFonts w:hint="eastAsia" w:eastAsia="仿宋_GB2312"/>
          <w:snapToGrid w:val="0"/>
          <w:kern w:val="0"/>
          <w:sz w:val="32"/>
          <w:szCs w:val="32"/>
        </w:rPr>
        <w:t>职工大病关爱行动是构建多层次城市困难职工梯度帮扶体系，帮扶大病困难职工缓解生活压力，重振生活信心的民心工程。各级工会要充分认识职工大病关爱行动的重要性，切实把它作为“为民办实事”实践活动，维护职工合法权益、竭诚服务职工群众，不断提升职工群众的获得感、幸福感的重要举措。要切实抓紧抓好，真正做到思想认识到位，组织发动到位，工作措施到位，及时把党和政府、工会组织的关怀温暖送到职工群众的心坎上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（二）严格把关，确保实效。</w:t>
      </w:r>
      <w:r>
        <w:rPr>
          <w:rFonts w:hint="eastAsia" w:eastAsia="仿宋_GB2312"/>
          <w:snapToGrid w:val="0"/>
          <w:kern w:val="0"/>
          <w:sz w:val="32"/>
          <w:szCs w:val="32"/>
        </w:rPr>
        <w:t>各级工会开展职工大病关爱行动要坚持公开、公平和公正的原则，把好审核关口，严格执行帮扶对象标准，履行帮扶相关程序，主动接受职工群众和社会的监督，严禁徇私舞弊、弄虚作假、优亲厚友。对违规违法行为问题线索，省总工会将移交纪检监察部门查处。</w:t>
      </w:r>
    </w:p>
    <w:p>
      <w:pPr>
        <w:ind w:firstLine="643" w:firstLineChars="200"/>
        <w:rPr>
          <w:rFonts w:eastAsia="楷体_GB2312"/>
          <w:b/>
          <w:snapToGrid w:val="0"/>
          <w:color w:val="FF0000"/>
          <w:kern w:val="0"/>
          <w:sz w:val="32"/>
          <w:szCs w:val="32"/>
          <w:u w:val="single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（三）走访慰问，传递关爱。</w:t>
      </w:r>
      <w:r>
        <w:rPr>
          <w:rFonts w:hint="eastAsia" w:eastAsia="仿宋_GB2312"/>
          <w:snapToGrid w:val="0"/>
          <w:kern w:val="0"/>
          <w:sz w:val="32"/>
          <w:szCs w:val="32"/>
        </w:rPr>
        <w:t>各级工会要将职工大病关爱行动对象纳入“两节”送温暖活动进行走访慰问，深入了解职工生活状况和实际需求，宣讲相关帮扶政策，帮助解决生活困难和实际问题，切实传递党和政府、工会组织的关怀温暖。对于符合困难职工建档帮扶条件的，要及时按程序纳入建档帮扶范围。</w:t>
      </w:r>
    </w:p>
    <w:p>
      <w:pPr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（四）加强宣传，积极引导。</w:t>
      </w:r>
      <w:r>
        <w:rPr>
          <w:rFonts w:hint="eastAsia" w:eastAsia="仿宋_GB2312"/>
          <w:snapToGrid w:val="0"/>
          <w:kern w:val="0"/>
          <w:sz w:val="32"/>
          <w:szCs w:val="32"/>
        </w:rPr>
        <w:t>各级工会要充分利用各种形式，通过新闻媒体、互联网、电视报刊等方式，向社会广泛宣传职工大病关爱行动的有关政策，提高群众知晓率。要及时总结经验，不断推广典型，充分发挥示范引导作用。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市（州）总工会、省直机关工会和省总工会困难职工帮扶中心于</w:t>
      </w:r>
      <w:r>
        <w:rPr>
          <w:rFonts w:eastAsia="仿宋_GB2312"/>
          <w:snapToGrid w:val="0"/>
          <w:kern w:val="0"/>
          <w:sz w:val="32"/>
          <w:szCs w:val="32"/>
        </w:rPr>
        <w:t>11</w:t>
      </w:r>
      <w:r>
        <w:rPr>
          <w:rFonts w:hint="eastAsia"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</w:rPr>
        <w:t>15</w:t>
      </w:r>
      <w:r>
        <w:rPr>
          <w:rFonts w:hint="eastAsia" w:eastAsia="仿宋_GB2312"/>
          <w:snapToGrid w:val="0"/>
          <w:kern w:val="0"/>
          <w:sz w:val="32"/>
          <w:szCs w:val="32"/>
        </w:rPr>
        <w:t>日前，将职工大病关爱行动资金申请报告、《职工大病关爱行动拟帮扶对象实名制汇总表》及集体研究会议纪要报省总工会权益保障部。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联系人及电话：刘敏，</w:t>
      </w:r>
      <w:r>
        <w:rPr>
          <w:rFonts w:eastAsia="仿宋_GB2312"/>
          <w:snapToGrid w:val="0"/>
          <w:kern w:val="0"/>
          <w:sz w:val="32"/>
          <w:szCs w:val="32"/>
        </w:rPr>
        <w:t>0731-84320151</w:t>
      </w:r>
      <w:r>
        <w:rPr>
          <w:rFonts w:hint="eastAsia" w:eastAsia="仿宋_GB2312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附件：</w:t>
      </w: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</w:rPr>
        <w:t>．《职工大病关爱行动帮扶申请审批表》</w:t>
      </w:r>
    </w:p>
    <w:p>
      <w:pPr>
        <w:ind w:firstLine="1600" w:firstLineChars="5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．《职工大病关爱行动拟帮扶对象实名制汇总表》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ind w:firstLine="5353" w:firstLineChars="1673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湖南省总工会办公室</w:t>
      </w:r>
    </w:p>
    <w:p>
      <w:pPr>
        <w:ind w:firstLine="5353" w:firstLineChars="1673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2021</w:t>
      </w:r>
      <w:r>
        <w:rPr>
          <w:rFonts w:hint="eastAsia"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</w:rPr>
        <w:t>8</w:t>
      </w:r>
      <w:r>
        <w:rPr>
          <w:rFonts w:hint="eastAsia"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</w:rPr>
        <w:t>18</w:t>
      </w:r>
      <w:r>
        <w:rPr>
          <w:rFonts w:hint="eastAsia" w:eastAsia="仿宋_GB2312"/>
          <w:snapToGrid w:val="0"/>
          <w:kern w:val="0"/>
          <w:sz w:val="32"/>
          <w:szCs w:val="32"/>
        </w:rPr>
        <w:t>日</w:t>
      </w:r>
    </w:p>
    <w:p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br w:type="page"/>
      </w:r>
      <w:r>
        <w:rPr>
          <w:rFonts w:hint="eastAsia" w:eastAsia="黑体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1</w:t>
      </w:r>
    </w:p>
    <w:p>
      <w:pPr>
        <w:jc w:val="center"/>
        <w:rPr>
          <w:rFonts w:eastAsia="仿宋_GB2312"/>
          <w:snapToGrid w:val="0"/>
          <w:kern w:val="0"/>
          <w:sz w:val="32"/>
          <w:szCs w:val="32"/>
        </w:rPr>
      </w:pPr>
    </w:p>
    <w:p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hint="eastAsia" w:eastAsia="方正小标宋_GBK"/>
          <w:snapToGrid w:val="0"/>
          <w:kern w:val="0"/>
          <w:sz w:val="44"/>
          <w:szCs w:val="44"/>
        </w:rPr>
        <w:t>职工大病关爱行动帮扶申请审批表</w:t>
      </w:r>
    </w:p>
    <w:p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tbl>
      <w:tblPr>
        <w:tblStyle w:val="8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32"/>
        <w:gridCol w:w="1590"/>
        <w:gridCol w:w="1031"/>
        <w:gridCol w:w="691"/>
        <w:gridCol w:w="127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姓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名</w:t>
            </w:r>
          </w:p>
        </w:tc>
        <w:tc>
          <w:tcPr>
            <w:tcW w:w="193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59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性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别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出生年月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工作单位</w:t>
            </w:r>
          </w:p>
        </w:tc>
        <w:tc>
          <w:tcPr>
            <w:tcW w:w="4553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身份证号码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开户行及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银行卡号</w:t>
            </w:r>
          </w:p>
        </w:tc>
        <w:tc>
          <w:tcPr>
            <w:tcW w:w="4640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确诊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疾病名称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前十二个月住院治疗费用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总金额（元）</w:t>
            </w: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前十二个月医疗保险报销资金（元）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前十二个月职工医疗互助补助资金（元）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前十二个月</w:t>
            </w:r>
            <w:r>
              <w:rPr>
                <w:rFonts w:hint="eastAsia"/>
                <w:kern w:val="0"/>
                <w:szCs w:val="21"/>
              </w:rPr>
              <w:t>工会帮扶资金（元）</w:t>
            </w:r>
          </w:p>
        </w:tc>
        <w:tc>
          <w:tcPr>
            <w:tcW w:w="172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前十二个月社会救助资金（元）</w:t>
            </w:r>
          </w:p>
        </w:tc>
        <w:tc>
          <w:tcPr>
            <w:tcW w:w="16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35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职工住院个人现金自付金额（元）</w:t>
            </w:r>
          </w:p>
        </w:tc>
        <w:tc>
          <w:tcPr>
            <w:tcW w:w="6230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病情及家庭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主要情况</w:t>
            </w:r>
          </w:p>
        </w:tc>
        <w:tc>
          <w:tcPr>
            <w:tcW w:w="816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14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本人承诺</w:t>
            </w:r>
          </w:p>
        </w:tc>
        <w:tc>
          <w:tcPr>
            <w:tcW w:w="8162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本人不存在《湖南省总工会办公室关于开展第二期职工大病关爱行动的通知》不予补助的有关情形，本人提供的全部信息真实无误，并愿意配合提供相关证明资料。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申请人（签名）：</w:t>
            </w:r>
            <w:r>
              <w:rPr>
                <w:rFonts w:hAnsi="宋体"/>
                <w:kern w:val="0"/>
                <w:szCs w:val="21"/>
              </w:rPr>
              <w:t xml:space="preserve">           </w:t>
            </w:r>
            <w:r>
              <w:rPr>
                <w:rFonts w:hint="eastAsia" w:hAnsi="宋体"/>
                <w:kern w:val="0"/>
                <w:szCs w:val="21"/>
              </w:rPr>
              <w:t>申请日期：</w:t>
            </w:r>
            <w:r>
              <w:rPr>
                <w:rFonts w:hAnsi="宋体"/>
                <w:kern w:val="0"/>
                <w:szCs w:val="21"/>
              </w:rPr>
              <w:t xml:space="preserve">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基层工会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核查意见</w:t>
            </w:r>
          </w:p>
        </w:tc>
        <w:tc>
          <w:tcPr>
            <w:tcW w:w="8162" w:type="dxa"/>
            <w:gridSpan w:val="6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 负责人签字：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 （加盖单位公章）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上级工会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审查意见</w:t>
            </w:r>
          </w:p>
        </w:tc>
        <w:tc>
          <w:tcPr>
            <w:tcW w:w="8162" w:type="dxa"/>
            <w:gridSpan w:val="6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   负责人签字：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 （加盖单位公章）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市州总工会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hAnsi="宋体"/>
                <w:kern w:val="0"/>
                <w:szCs w:val="21"/>
              </w:rPr>
              <w:t>省直机关工会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hAnsi="宋体"/>
                <w:kern w:val="0"/>
                <w:szCs w:val="21"/>
              </w:rPr>
              <w:t>省总工会困难职工帮扶中心审批意见</w:t>
            </w:r>
          </w:p>
        </w:tc>
        <w:tc>
          <w:tcPr>
            <w:tcW w:w="8162" w:type="dxa"/>
            <w:gridSpan w:val="6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负责人签字：</w:t>
            </w: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                   （加盖单位公章）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rPr>
          <w:rFonts w:hAnsi="黑体" w:eastAsia="黑体"/>
          <w:snapToGrid w:val="0"/>
          <w:kern w:val="0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8" w:bottom="1985" w:left="1588" w:header="851" w:footer="1191" w:gutter="0"/>
          <w:pgNumType w:start="1"/>
          <w:cols w:space="720" w:num="1"/>
          <w:docGrid w:type="lines" w:linePitch="579" w:charSpace="0"/>
        </w:sectPr>
      </w:pPr>
    </w:p>
    <w:p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2</w:t>
      </w:r>
    </w:p>
    <w:p>
      <w:pPr>
        <w:rPr>
          <w:rFonts w:eastAsia="黑体"/>
          <w:snapToGrid w:val="0"/>
          <w:kern w:val="0"/>
          <w:sz w:val="32"/>
          <w:szCs w:val="32"/>
        </w:rPr>
      </w:pPr>
    </w:p>
    <w:p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hint="eastAsia" w:eastAsia="方正小标宋_GBK"/>
          <w:snapToGrid w:val="0"/>
          <w:kern w:val="0"/>
          <w:sz w:val="44"/>
          <w:szCs w:val="44"/>
        </w:rPr>
        <w:t>职工大病关爱行动拟帮扶对象实名制汇总表</w:t>
      </w:r>
    </w:p>
    <w:p>
      <w:pPr>
        <w:rPr>
          <w:rFonts w:eastAsia="黑体"/>
          <w:snapToGrid w:val="0"/>
          <w:kern w:val="0"/>
          <w:sz w:val="32"/>
          <w:szCs w:val="32"/>
        </w:rPr>
      </w:pPr>
    </w:p>
    <w:p>
      <w:pPr>
        <w:ind w:firstLine="560" w:firstLineChars="200"/>
        <w:rPr>
          <w:rFonts w:eastAsia="仿宋_GB2312"/>
          <w:snapToGrid w:val="0"/>
          <w:kern w:val="0"/>
          <w:sz w:val="28"/>
          <w:szCs w:val="28"/>
        </w:rPr>
      </w:pPr>
      <w:r>
        <w:rPr>
          <w:rFonts w:hint="eastAsia" w:eastAsia="仿宋_GB2312"/>
          <w:snapToGrid w:val="0"/>
          <w:kern w:val="0"/>
          <w:sz w:val="28"/>
          <w:szCs w:val="28"/>
        </w:rPr>
        <w:t>填报单位：（公章）</w:t>
      </w:r>
      <w:r>
        <w:rPr>
          <w:rFonts w:eastAsia="仿宋_GB2312"/>
          <w:snapToGrid w:val="0"/>
          <w:kern w:val="0"/>
          <w:sz w:val="28"/>
          <w:szCs w:val="28"/>
        </w:rPr>
        <w:t xml:space="preserve">                                      </w:t>
      </w:r>
      <w:r>
        <w:rPr>
          <w:rFonts w:hint="eastAsia" w:eastAsia="仿宋_GB2312"/>
          <w:snapToGrid w:val="0"/>
          <w:kern w:val="0"/>
          <w:sz w:val="28"/>
          <w:szCs w:val="28"/>
        </w:rPr>
        <w:t>填报时间：</w:t>
      </w:r>
    </w:p>
    <w:tbl>
      <w:tblPr>
        <w:tblStyle w:val="8"/>
        <w:tblW w:w="15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68"/>
        <w:gridCol w:w="2111"/>
        <w:gridCol w:w="1468"/>
        <w:gridCol w:w="1385"/>
        <w:gridCol w:w="1482"/>
        <w:gridCol w:w="1594"/>
        <w:gridCol w:w="1264"/>
        <w:gridCol w:w="1421"/>
        <w:gridCol w:w="144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hAnsi="黑体" w:eastAsia="黑体"/>
              </w:rPr>
              <w:t>序号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hAnsi="黑体" w:eastAsia="黑体"/>
              </w:rPr>
              <w:t>姓</w:t>
            </w:r>
            <w:r>
              <w:rPr>
                <w:rFonts w:hAnsi="黑体" w:eastAsia="黑体"/>
              </w:rPr>
              <w:t xml:space="preserve">  </w:t>
            </w:r>
            <w:r>
              <w:rPr>
                <w:rFonts w:hint="eastAsia" w:hAnsi="黑体" w:eastAsia="黑体"/>
              </w:rPr>
              <w:t>名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hAnsi="黑体" w:eastAsia="黑体"/>
              </w:rPr>
              <w:t>身份证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hAnsi="黑体" w:eastAsia="黑体"/>
              </w:rPr>
              <w:t>职工单位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hAnsi="黑体" w:eastAsia="黑体"/>
              </w:rPr>
              <w:t>疾病病种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前十二个月住院治疗费用</w:t>
            </w:r>
          </w:p>
          <w:p>
            <w:pPr>
              <w:widowControl/>
              <w:spacing w:line="360" w:lineRule="exact"/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总金额（元）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前十二个月职工医疗互助已补助金额（元）</w:t>
            </w:r>
          </w:p>
        </w:tc>
        <w:tc>
          <w:tcPr>
            <w:tcW w:w="1264" w:type="dxa"/>
          </w:tcPr>
          <w:p>
            <w:pPr>
              <w:spacing w:line="400" w:lineRule="exact"/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前十二个月工会帮扶资金（元）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前十二个月社会救助资金（元）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前十二个月个人自付治疗费用金额（元）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Ansi="黑体" w:eastAsia="黑体"/>
              </w:rPr>
            </w:pPr>
            <w:r>
              <w:rPr>
                <w:rFonts w:hint="eastAsia" w:hAnsi="黑体" w:eastAsia="黑体"/>
              </w:rPr>
              <w:t>拟帮扶金额（元）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</w:tcPr>
          <w:p>
            <w:pPr>
              <w:jc w:val="center"/>
            </w:pPr>
          </w:p>
        </w:tc>
        <w:tc>
          <w:tcPr>
            <w:tcW w:w="1421" w:type="dxa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</w:tcPr>
          <w:p>
            <w:pPr>
              <w:jc w:val="center"/>
            </w:pPr>
          </w:p>
        </w:tc>
        <w:tc>
          <w:tcPr>
            <w:tcW w:w="1421" w:type="dxa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</w:tcPr>
          <w:p>
            <w:pPr>
              <w:jc w:val="center"/>
            </w:pPr>
          </w:p>
        </w:tc>
        <w:tc>
          <w:tcPr>
            <w:tcW w:w="1421" w:type="dxa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</w:tcPr>
          <w:p>
            <w:pPr>
              <w:jc w:val="center"/>
            </w:pPr>
          </w:p>
        </w:tc>
        <w:tc>
          <w:tcPr>
            <w:tcW w:w="1421" w:type="dxa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</w:tcPr>
          <w:p>
            <w:pPr>
              <w:jc w:val="center"/>
            </w:pPr>
          </w:p>
        </w:tc>
        <w:tc>
          <w:tcPr>
            <w:tcW w:w="1421" w:type="dxa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</w:tcPr>
          <w:p>
            <w:pPr>
              <w:jc w:val="center"/>
            </w:pPr>
          </w:p>
        </w:tc>
        <w:tc>
          <w:tcPr>
            <w:tcW w:w="1421" w:type="dxa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仿宋_GB2312"/>
          <w:snapToGrid w:val="0"/>
          <w:kern w:val="0"/>
          <w:sz w:val="32"/>
          <w:szCs w:val="32"/>
        </w:rPr>
      </w:pPr>
    </w:p>
    <w:sectPr>
      <w:headerReference r:id="rId8" w:type="default"/>
      <w:footerReference r:id="rId9" w:type="default"/>
      <w:footerReference r:id="rId10" w:type="even"/>
      <w:pgSz w:w="16838" w:h="11906" w:orient="landscape"/>
      <w:pgMar w:top="1134" w:right="1134" w:bottom="1134" w:left="1134" w:header="851" w:footer="1191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24"/>
      </w:rPr>
    </w:pPr>
    <w:r>
      <w:rPr>
        <w:rStyle w:val="11"/>
        <w:sz w:val="24"/>
      </w:rPr>
      <w:t xml:space="preserve">— </w:t>
    </w:r>
    <w:r>
      <w:rPr>
        <w:rStyle w:val="11"/>
        <w:sz w:val="24"/>
      </w:rPr>
      <w:fldChar w:fldCharType="begin"/>
    </w:r>
    <w:r>
      <w:rPr>
        <w:rStyle w:val="11"/>
        <w:sz w:val="24"/>
      </w:rPr>
      <w:instrText xml:space="preserve">PAGE  </w:instrText>
    </w:r>
    <w:r>
      <w:rPr>
        <w:rStyle w:val="11"/>
        <w:sz w:val="24"/>
      </w:rPr>
      <w:fldChar w:fldCharType="separate"/>
    </w:r>
    <w:r>
      <w:rPr>
        <w:rStyle w:val="11"/>
        <w:sz w:val="24"/>
      </w:rPr>
      <w:t>7</w:t>
    </w:r>
    <w:r>
      <w:rPr>
        <w:rStyle w:val="11"/>
        <w:sz w:val="24"/>
      </w:rPr>
      <w:fldChar w:fldCharType="end"/>
    </w:r>
    <w:r>
      <w:rPr>
        <w:rStyle w:val="11"/>
        <w:sz w:val="24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4"/>
      </w:rPr>
    </w:pPr>
    <w:r>
      <w:rPr>
        <w:rStyle w:val="11"/>
        <w:sz w:val="24"/>
      </w:rPr>
      <w:t xml:space="preserve">— </w:t>
    </w:r>
    <w:r>
      <w:rPr>
        <w:rStyle w:val="11"/>
        <w:sz w:val="24"/>
      </w:rPr>
      <w:fldChar w:fldCharType="begin"/>
    </w:r>
    <w:r>
      <w:rPr>
        <w:rStyle w:val="11"/>
        <w:sz w:val="24"/>
      </w:rPr>
      <w:instrText xml:space="preserve">PAGE  </w:instrText>
    </w:r>
    <w:r>
      <w:rPr>
        <w:rStyle w:val="11"/>
        <w:sz w:val="24"/>
      </w:rPr>
      <w:fldChar w:fldCharType="separate"/>
    </w:r>
    <w:r>
      <w:rPr>
        <w:rStyle w:val="11"/>
        <w:sz w:val="24"/>
      </w:rPr>
      <w:t>8</w:t>
    </w:r>
    <w:r>
      <w:rPr>
        <w:rStyle w:val="11"/>
        <w:sz w:val="24"/>
      </w:rPr>
      <w:fldChar w:fldCharType="end"/>
    </w:r>
    <w:r>
      <w:rPr>
        <w:rStyle w:val="11"/>
        <w:sz w:val="24"/>
      </w:rPr>
      <w:t xml:space="preserve"> —</w: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F"/>
    <w:rsid w:val="00006367"/>
    <w:rsid w:val="00010F65"/>
    <w:rsid w:val="00013D4E"/>
    <w:rsid w:val="00015094"/>
    <w:rsid w:val="0001542D"/>
    <w:rsid w:val="000166A3"/>
    <w:rsid w:val="00024EE6"/>
    <w:rsid w:val="00032EC6"/>
    <w:rsid w:val="00033089"/>
    <w:rsid w:val="0003360F"/>
    <w:rsid w:val="00035F13"/>
    <w:rsid w:val="00045641"/>
    <w:rsid w:val="00052415"/>
    <w:rsid w:val="00070F1F"/>
    <w:rsid w:val="000716AF"/>
    <w:rsid w:val="0007174A"/>
    <w:rsid w:val="00071C29"/>
    <w:rsid w:val="00072E01"/>
    <w:rsid w:val="000756DA"/>
    <w:rsid w:val="00076927"/>
    <w:rsid w:val="00076FB1"/>
    <w:rsid w:val="000871B0"/>
    <w:rsid w:val="0008799E"/>
    <w:rsid w:val="000978FB"/>
    <w:rsid w:val="000A5B24"/>
    <w:rsid w:val="000A6369"/>
    <w:rsid w:val="000A6DC5"/>
    <w:rsid w:val="000A7F25"/>
    <w:rsid w:val="000D4034"/>
    <w:rsid w:val="000D5ED6"/>
    <w:rsid w:val="000D61B3"/>
    <w:rsid w:val="000E4774"/>
    <w:rsid w:val="000E4B35"/>
    <w:rsid w:val="000E5FBA"/>
    <w:rsid w:val="000E64D7"/>
    <w:rsid w:val="000F2E42"/>
    <w:rsid w:val="000F4F47"/>
    <w:rsid w:val="000F7EDC"/>
    <w:rsid w:val="00102AAB"/>
    <w:rsid w:val="001077E3"/>
    <w:rsid w:val="00107E80"/>
    <w:rsid w:val="00111A14"/>
    <w:rsid w:val="0011430C"/>
    <w:rsid w:val="00130F57"/>
    <w:rsid w:val="00131B95"/>
    <w:rsid w:val="00135C9C"/>
    <w:rsid w:val="001401C2"/>
    <w:rsid w:val="00146F3F"/>
    <w:rsid w:val="00153AB8"/>
    <w:rsid w:val="00160E8B"/>
    <w:rsid w:val="00170471"/>
    <w:rsid w:val="00172868"/>
    <w:rsid w:val="0017624F"/>
    <w:rsid w:val="00180665"/>
    <w:rsid w:val="00181924"/>
    <w:rsid w:val="0018548E"/>
    <w:rsid w:val="0018655E"/>
    <w:rsid w:val="001875F7"/>
    <w:rsid w:val="00190592"/>
    <w:rsid w:val="00192AE9"/>
    <w:rsid w:val="0019508F"/>
    <w:rsid w:val="001C0C6E"/>
    <w:rsid w:val="001D11E2"/>
    <w:rsid w:val="001D4C6E"/>
    <w:rsid w:val="001D6974"/>
    <w:rsid w:val="001E03A6"/>
    <w:rsid w:val="001E474C"/>
    <w:rsid w:val="001F3B56"/>
    <w:rsid w:val="001F56C0"/>
    <w:rsid w:val="001F6372"/>
    <w:rsid w:val="001F7815"/>
    <w:rsid w:val="00210471"/>
    <w:rsid w:val="0021236E"/>
    <w:rsid w:val="002139B1"/>
    <w:rsid w:val="00215F73"/>
    <w:rsid w:val="00220F7F"/>
    <w:rsid w:val="00223EDD"/>
    <w:rsid w:val="0023226A"/>
    <w:rsid w:val="00235674"/>
    <w:rsid w:val="00242FFF"/>
    <w:rsid w:val="002615E2"/>
    <w:rsid w:val="00262709"/>
    <w:rsid w:val="0026393E"/>
    <w:rsid w:val="00271D77"/>
    <w:rsid w:val="002766C4"/>
    <w:rsid w:val="0028087C"/>
    <w:rsid w:val="00284FC1"/>
    <w:rsid w:val="00291875"/>
    <w:rsid w:val="002B1643"/>
    <w:rsid w:val="002B29D2"/>
    <w:rsid w:val="002C11CD"/>
    <w:rsid w:val="002C6F18"/>
    <w:rsid w:val="002D0F85"/>
    <w:rsid w:val="002D246A"/>
    <w:rsid w:val="002D2BFF"/>
    <w:rsid w:val="002D447E"/>
    <w:rsid w:val="002E654A"/>
    <w:rsid w:val="002E6AC2"/>
    <w:rsid w:val="002F6103"/>
    <w:rsid w:val="00300CC2"/>
    <w:rsid w:val="00301753"/>
    <w:rsid w:val="003049E2"/>
    <w:rsid w:val="003245D0"/>
    <w:rsid w:val="00325C73"/>
    <w:rsid w:val="003316B9"/>
    <w:rsid w:val="00332842"/>
    <w:rsid w:val="00332A70"/>
    <w:rsid w:val="00336064"/>
    <w:rsid w:val="00337174"/>
    <w:rsid w:val="003413DA"/>
    <w:rsid w:val="003500AF"/>
    <w:rsid w:val="00352A52"/>
    <w:rsid w:val="00360CBD"/>
    <w:rsid w:val="00367036"/>
    <w:rsid w:val="00370149"/>
    <w:rsid w:val="00371E9B"/>
    <w:rsid w:val="00375141"/>
    <w:rsid w:val="003768EC"/>
    <w:rsid w:val="00377323"/>
    <w:rsid w:val="00377815"/>
    <w:rsid w:val="00384753"/>
    <w:rsid w:val="00384E0E"/>
    <w:rsid w:val="00385383"/>
    <w:rsid w:val="00387175"/>
    <w:rsid w:val="0039133A"/>
    <w:rsid w:val="00395186"/>
    <w:rsid w:val="003956CC"/>
    <w:rsid w:val="00395703"/>
    <w:rsid w:val="003979A6"/>
    <w:rsid w:val="003A0AF4"/>
    <w:rsid w:val="003A1EEB"/>
    <w:rsid w:val="003A292A"/>
    <w:rsid w:val="003B26A1"/>
    <w:rsid w:val="003B7267"/>
    <w:rsid w:val="003B7818"/>
    <w:rsid w:val="003B7BFC"/>
    <w:rsid w:val="003C0844"/>
    <w:rsid w:val="003C1AD9"/>
    <w:rsid w:val="003C7068"/>
    <w:rsid w:val="003C7A4F"/>
    <w:rsid w:val="003D3A0A"/>
    <w:rsid w:val="003D58D1"/>
    <w:rsid w:val="003E1402"/>
    <w:rsid w:val="003E4AB2"/>
    <w:rsid w:val="003F16EA"/>
    <w:rsid w:val="00400596"/>
    <w:rsid w:val="004037F7"/>
    <w:rsid w:val="00411401"/>
    <w:rsid w:val="00413E35"/>
    <w:rsid w:val="0042102B"/>
    <w:rsid w:val="00422468"/>
    <w:rsid w:val="00425719"/>
    <w:rsid w:val="004533DA"/>
    <w:rsid w:val="00454D7C"/>
    <w:rsid w:val="00455D85"/>
    <w:rsid w:val="00456AE7"/>
    <w:rsid w:val="0047399D"/>
    <w:rsid w:val="004743D5"/>
    <w:rsid w:val="00475F79"/>
    <w:rsid w:val="00481203"/>
    <w:rsid w:val="004816C0"/>
    <w:rsid w:val="00485475"/>
    <w:rsid w:val="00487684"/>
    <w:rsid w:val="004907DE"/>
    <w:rsid w:val="00490A6D"/>
    <w:rsid w:val="00490EC4"/>
    <w:rsid w:val="004A1F0E"/>
    <w:rsid w:val="004A602C"/>
    <w:rsid w:val="004B102D"/>
    <w:rsid w:val="004B55CC"/>
    <w:rsid w:val="004C1C9D"/>
    <w:rsid w:val="004C4D93"/>
    <w:rsid w:val="004C58B2"/>
    <w:rsid w:val="004D6AD8"/>
    <w:rsid w:val="004E74EC"/>
    <w:rsid w:val="004F2EE1"/>
    <w:rsid w:val="0050041A"/>
    <w:rsid w:val="0050223F"/>
    <w:rsid w:val="00516652"/>
    <w:rsid w:val="005219B9"/>
    <w:rsid w:val="00521E8F"/>
    <w:rsid w:val="005328F1"/>
    <w:rsid w:val="0053341C"/>
    <w:rsid w:val="00535695"/>
    <w:rsid w:val="005419F7"/>
    <w:rsid w:val="0055243A"/>
    <w:rsid w:val="0055384B"/>
    <w:rsid w:val="00555AC6"/>
    <w:rsid w:val="005676CE"/>
    <w:rsid w:val="00574454"/>
    <w:rsid w:val="005762D6"/>
    <w:rsid w:val="00594BA5"/>
    <w:rsid w:val="005A1AD6"/>
    <w:rsid w:val="005A1D9C"/>
    <w:rsid w:val="005B0520"/>
    <w:rsid w:val="005B3545"/>
    <w:rsid w:val="005B70CF"/>
    <w:rsid w:val="005B744E"/>
    <w:rsid w:val="005C110B"/>
    <w:rsid w:val="005C31FE"/>
    <w:rsid w:val="005C745C"/>
    <w:rsid w:val="005D0D7D"/>
    <w:rsid w:val="005D16A9"/>
    <w:rsid w:val="005D3F1C"/>
    <w:rsid w:val="005E062A"/>
    <w:rsid w:val="005F2837"/>
    <w:rsid w:val="00612D14"/>
    <w:rsid w:val="006148DD"/>
    <w:rsid w:val="00631564"/>
    <w:rsid w:val="006347FA"/>
    <w:rsid w:val="00652E17"/>
    <w:rsid w:val="00666372"/>
    <w:rsid w:val="00670701"/>
    <w:rsid w:val="0067085F"/>
    <w:rsid w:val="00670F92"/>
    <w:rsid w:val="006723F0"/>
    <w:rsid w:val="006732FA"/>
    <w:rsid w:val="00677674"/>
    <w:rsid w:val="00682F56"/>
    <w:rsid w:val="00683D3F"/>
    <w:rsid w:val="00685C11"/>
    <w:rsid w:val="00694833"/>
    <w:rsid w:val="0069506D"/>
    <w:rsid w:val="00695E64"/>
    <w:rsid w:val="006A1A13"/>
    <w:rsid w:val="006B0321"/>
    <w:rsid w:val="006B188B"/>
    <w:rsid w:val="006B689E"/>
    <w:rsid w:val="006B70B9"/>
    <w:rsid w:val="006C109E"/>
    <w:rsid w:val="006C4BF9"/>
    <w:rsid w:val="006C4E4B"/>
    <w:rsid w:val="006C4FB3"/>
    <w:rsid w:val="006C54DA"/>
    <w:rsid w:val="006C6905"/>
    <w:rsid w:val="006D0194"/>
    <w:rsid w:val="006E3A8C"/>
    <w:rsid w:val="006E44F0"/>
    <w:rsid w:val="006E7F75"/>
    <w:rsid w:val="006F0F23"/>
    <w:rsid w:val="006F3B33"/>
    <w:rsid w:val="006F4107"/>
    <w:rsid w:val="00704423"/>
    <w:rsid w:val="00706F63"/>
    <w:rsid w:val="00712AD3"/>
    <w:rsid w:val="00720B6A"/>
    <w:rsid w:val="007233FB"/>
    <w:rsid w:val="00731DC3"/>
    <w:rsid w:val="007347E9"/>
    <w:rsid w:val="00736158"/>
    <w:rsid w:val="0073714D"/>
    <w:rsid w:val="00742419"/>
    <w:rsid w:val="007433E8"/>
    <w:rsid w:val="0075396F"/>
    <w:rsid w:val="007611FE"/>
    <w:rsid w:val="007647D6"/>
    <w:rsid w:val="0077022E"/>
    <w:rsid w:val="00773711"/>
    <w:rsid w:val="007811AC"/>
    <w:rsid w:val="007816EF"/>
    <w:rsid w:val="007842CF"/>
    <w:rsid w:val="0079191A"/>
    <w:rsid w:val="00792116"/>
    <w:rsid w:val="007945C7"/>
    <w:rsid w:val="007A13CC"/>
    <w:rsid w:val="007A1EDD"/>
    <w:rsid w:val="007A2D82"/>
    <w:rsid w:val="007B4F2C"/>
    <w:rsid w:val="007B5F4B"/>
    <w:rsid w:val="007B68EF"/>
    <w:rsid w:val="007B6DCF"/>
    <w:rsid w:val="007B74D0"/>
    <w:rsid w:val="007C74F2"/>
    <w:rsid w:val="007D774E"/>
    <w:rsid w:val="007E0B92"/>
    <w:rsid w:val="007E5170"/>
    <w:rsid w:val="007F0984"/>
    <w:rsid w:val="008000F0"/>
    <w:rsid w:val="00804AF4"/>
    <w:rsid w:val="00806231"/>
    <w:rsid w:val="008067E3"/>
    <w:rsid w:val="008207D8"/>
    <w:rsid w:val="008218D4"/>
    <w:rsid w:val="00823267"/>
    <w:rsid w:val="008257DC"/>
    <w:rsid w:val="0083275B"/>
    <w:rsid w:val="0083454B"/>
    <w:rsid w:val="00837792"/>
    <w:rsid w:val="00840039"/>
    <w:rsid w:val="008413EB"/>
    <w:rsid w:val="00841B79"/>
    <w:rsid w:val="00846EAE"/>
    <w:rsid w:val="008609E7"/>
    <w:rsid w:val="00862FA9"/>
    <w:rsid w:val="00863515"/>
    <w:rsid w:val="00866F6C"/>
    <w:rsid w:val="00870E32"/>
    <w:rsid w:val="00872E7F"/>
    <w:rsid w:val="00875CB1"/>
    <w:rsid w:val="0089205F"/>
    <w:rsid w:val="008A0BAA"/>
    <w:rsid w:val="008A12C6"/>
    <w:rsid w:val="008A334F"/>
    <w:rsid w:val="008A398F"/>
    <w:rsid w:val="008A3C5F"/>
    <w:rsid w:val="008A73E7"/>
    <w:rsid w:val="008B1B9E"/>
    <w:rsid w:val="008B1E80"/>
    <w:rsid w:val="008B214D"/>
    <w:rsid w:val="008B55A4"/>
    <w:rsid w:val="008B6E3B"/>
    <w:rsid w:val="008C4A09"/>
    <w:rsid w:val="008C6601"/>
    <w:rsid w:val="008D0918"/>
    <w:rsid w:val="008D2237"/>
    <w:rsid w:val="008E0B13"/>
    <w:rsid w:val="008E3688"/>
    <w:rsid w:val="008F36A2"/>
    <w:rsid w:val="008F41CE"/>
    <w:rsid w:val="008F7AE4"/>
    <w:rsid w:val="009007E9"/>
    <w:rsid w:val="0091080E"/>
    <w:rsid w:val="0091185A"/>
    <w:rsid w:val="00915375"/>
    <w:rsid w:val="00916A01"/>
    <w:rsid w:val="009202C2"/>
    <w:rsid w:val="00920F47"/>
    <w:rsid w:val="009210A2"/>
    <w:rsid w:val="00926836"/>
    <w:rsid w:val="00926B5F"/>
    <w:rsid w:val="009333ED"/>
    <w:rsid w:val="009336BD"/>
    <w:rsid w:val="00941C5C"/>
    <w:rsid w:val="00941FC4"/>
    <w:rsid w:val="0094372A"/>
    <w:rsid w:val="00952F5C"/>
    <w:rsid w:val="009540B9"/>
    <w:rsid w:val="00955B03"/>
    <w:rsid w:val="00957A04"/>
    <w:rsid w:val="00961803"/>
    <w:rsid w:val="00965E25"/>
    <w:rsid w:val="00974145"/>
    <w:rsid w:val="00977E70"/>
    <w:rsid w:val="00983173"/>
    <w:rsid w:val="00984DAE"/>
    <w:rsid w:val="009879A6"/>
    <w:rsid w:val="00992B5E"/>
    <w:rsid w:val="0099530C"/>
    <w:rsid w:val="00996571"/>
    <w:rsid w:val="009A0FC5"/>
    <w:rsid w:val="009A659F"/>
    <w:rsid w:val="009B6A59"/>
    <w:rsid w:val="009B787F"/>
    <w:rsid w:val="009C3400"/>
    <w:rsid w:val="009C3731"/>
    <w:rsid w:val="009D2A41"/>
    <w:rsid w:val="009D3293"/>
    <w:rsid w:val="009D49BE"/>
    <w:rsid w:val="009D5D67"/>
    <w:rsid w:val="009E472C"/>
    <w:rsid w:val="009F3635"/>
    <w:rsid w:val="009F78E9"/>
    <w:rsid w:val="00A01A27"/>
    <w:rsid w:val="00A020CE"/>
    <w:rsid w:val="00A04153"/>
    <w:rsid w:val="00A056BA"/>
    <w:rsid w:val="00A10905"/>
    <w:rsid w:val="00A1349C"/>
    <w:rsid w:val="00A14DEB"/>
    <w:rsid w:val="00A263CD"/>
    <w:rsid w:val="00A26813"/>
    <w:rsid w:val="00A35BE0"/>
    <w:rsid w:val="00A50609"/>
    <w:rsid w:val="00A635E7"/>
    <w:rsid w:val="00A65A6E"/>
    <w:rsid w:val="00A6641E"/>
    <w:rsid w:val="00A66F5E"/>
    <w:rsid w:val="00A72798"/>
    <w:rsid w:val="00A74F82"/>
    <w:rsid w:val="00A76C48"/>
    <w:rsid w:val="00A8404C"/>
    <w:rsid w:val="00A90B60"/>
    <w:rsid w:val="00A935C6"/>
    <w:rsid w:val="00A94FCB"/>
    <w:rsid w:val="00A95A21"/>
    <w:rsid w:val="00AA0C83"/>
    <w:rsid w:val="00AA2D0E"/>
    <w:rsid w:val="00AA6C79"/>
    <w:rsid w:val="00AC2F5E"/>
    <w:rsid w:val="00AC40E3"/>
    <w:rsid w:val="00AC6BDA"/>
    <w:rsid w:val="00AC77EE"/>
    <w:rsid w:val="00AD05BE"/>
    <w:rsid w:val="00AD4705"/>
    <w:rsid w:val="00AD67C8"/>
    <w:rsid w:val="00AE7D2B"/>
    <w:rsid w:val="00AE7D64"/>
    <w:rsid w:val="00B00E94"/>
    <w:rsid w:val="00B02432"/>
    <w:rsid w:val="00B04D81"/>
    <w:rsid w:val="00B04F99"/>
    <w:rsid w:val="00B05C04"/>
    <w:rsid w:val="00B07B00"/>
    <w:rsid w:val="00B118D8"/>
    <w:rsid w:val="00B160C9"/>
    <w:rsid w:val="00B17FA0"/>
    <w:rsid w:val="00B23131"/>
    <w:rsid w:val="00B26F65"/>
    <w:rsid w:val="00B31F29"/>
    <w:rsid w:val="00B344FB"/>
    <w:rsid w:val="00B349FC"/>
    <w:rsid w:val="00B36F6C"/>
    <w:rsid w:val="00B45C67"/>
    <w:rsid w:val="00B46823"/>
    <w:rsid w:val="00B47C30"/>
    <w:rsid w:val="00B501C9"/>
    <w:rsid w:val="00B56F12"/>
    <w:rsid w:val="00B63B42"/>
    <w:rsid w:val="00B715B1"/>
    <w:rsid w:val="00B72084"/>
    <w:rsid w:val="00B84FB9"/>
    <w:rsid w:val="00B933B7"/>
    <w:rsid w:val="00BA24D6"/>
    <w:rsid w:val="00BA288E"/>
    <w:rsid w:val="00BB6CF2"/>
    <w:rsid w:val="00BC426F"/>
    <w:rsid w:val="00BC6F83"/>
    <w:rsid w:val="00BD1E07"/>
    <w:rsid w:val="00BD22F1"/>
    <w:rsid w:val="00BD2A74"/>
    <w:rsid w:val="00BE7689"/>
    <w:rsid w:val="00BF3074"/>
    <w:rsid w:val="00BF58EF"/>
    <w:rsid w:val="00C0195E"/>
    <w:rsid w:val="00C064DA"/>
    <w:rsid w:val="00C11202"/>
    <w:rsid w:val="00C148D4"/>
    <w:rsid w:val="00C226DA"/>
    <w:rsid w:val="00C26ECE"/>
    <w:rsid w:val="00C278DF"/>
    <w:rsid w:val="00C27B71"/>
    <w:rsid w:val="00C378E7"/>
    <w:rsid w:val="00C41854"/>
    <w:rsid w:val="00C43073"/>
    <w:rsid w:val="00C62FCC"/>
    <w:rsid w:val="00C73359"/>
    <w:rsid w:val="00C74B65"/>
    <w:rsid w:val="00C77980"/>
    <w:rsid w:val="00C845CD"/>
    <w:rsid w:val="00C86A1F"/>
    <w:rsid w:val="00C87EBA"/>
    <w:rsid w:val="00C95C11"/>
    <w:rsid w:val="00CA44F7"/>
    <w:rsid w:val="00CA7156"/>
    <w:rsid w:val="00CA71BD"/>
    <w:rsid w:val="00CB2754"/>
    <w:rsid w:val="00CC15DC"/>
    <w:rsid w:val="00CC4F8E"/>
    <w:rsid w:val="00CD1002"/>
    <w:rsid w:val="00CE0326"/>
    <w:rsid w:val="00CE1DA5"/>
    <w:rsid w:val="00CF2E26"/>
    <w:rsid w:val="00CF2FF8"/>
    <w:rsid w:val="00D065C8"/>
    <w:rsid w:val="00D2545B"/>
    <w:rsid w:val="00D37570"/>
    <w:rsid w:val="00D37A11"/>
    <w:rsid w:val="00D50CAC"/>
    <w:rsid w:val="00D525A7"/>
    <w:rsid w:val="00D57A3D"/>
    <w:rsid w:val="00D65A55"/>
    <w:rsid w:val="00D715A1"/>
    <w:rsid w:val="00D80AB2"/>
    <w:rsid w:val="00DA2530"/>
    <w:rsid w:val="00DA3C85"/>
    <w:rsid w:val="00DA6871"/>
    <w:rsid w:val="00DC5CA4"/>
    <w:rsid w:val="00DC5F7C"/>
    <w:rsid w:val="00DD68A5"/>
    <w:rsid w:val="00DE002B"/>
    <w:rsid w:val="00DE1A99"/>
    <w:rsid w:val="00DE2727"/>
    <w:rsid w:val="00DE6092"/>
    <w:rsid w:val="00DE6E18"/>
    <w:rsid w:val="00DF1534"/>
    <w:rsid w:val="00DF2019"/>
    <w:rsid w:val="00DF2C6B"/>
    <w:rsid w:val="00DF7663"/>
    <w:rsid w:val="00E0310B"/>
    <w:rsid w:val="00E04FAC"/>
    <w:rsid w:val="00E11DEA"/>
    <w:rsid w:val="00E1566A"/>
    <w:rsid w:val="00E310EF"/>
    <w:rsid w:val="00E333B7"/>
    <w:rsid w:val="00E409AF"/>
    <w:rsid w:val="00E42807"/>
    <w:rsid w:val="00E52EC7"/>
    <w:rsid w:val="00E5325C"/>
    <w:rsid w:val="00E60D6D"/>
    <w:rsid w:val="00E60E18"/>
    <w:rsid w:val="00E62CE1"/>
    <w:rsid w:val="00E738C8"/>
    <w:rsid w:val="00E73994"/>
    <w:rsid w:val="00E7513C"/>
    <w:rsid w:val="00E82417"/>
    <w:rsid w:val="00E84268"/>
    <w:rsid w:val="00E87B2F"/>
    <w:rsid w:val="00E87CAD"/>
    <w:rsid w:val="00E95242"/>
    <w:rsid w:val="00E96E34"/>
    <w:rsid w:val="00EA3574"/>
    <w:rsid w:val="00EA38A5"/>
    <w:rsid w:val="00EA48EE"/>
    <w:rsid w:val="00EA5EB8"/>
    <w:rsid w:val="00EA7B8B"/>
    <w:rsid w:val="00EB7961"/>
    <w:rsid w:val="00EC110F"/>
    <w:rsid w:val="00EC6391"/>
    <w:rsid w:val="00EC67CC"/>
    <w:rsid w:val="00EC6A78"/>
    <w:rsid w:val="00ED24DF"/>
    <w:rsid w:val="00EE27A0"/>
    <w:rsid w:val="00EF59D4"/>
    <w:rsid w:val="00EF7F86"/>
    <w:rsid w:val="00F00375"/>
    <w:rsid w:val="00F02B42"/>
    <w:rsid w:val="00F05DB9"/>
    <w:rsid w:val="00F0603E"/>
    <w:rsid w:val="00F076E0"/>
    <w:rsid w:val="00F11635"/>
    <w:rsid w:val="00F135BE"/>
    <w:rsid w:val="00F173F6"/>
    <w:rsid w:val="00F203D9"/>
    <w:rsid w:val="00F2419D"/>
    <w:rsid w:val="00F24AE4"/>
    <w:rsid w:val="00F2593B"/>
    <w:rsid w:val="00F326CF"/>
    <w:rsid w:val="00F33C71"/>
    <w:rsid w:val="00F4190B"/>
    <w:rsid w:val="00F502E5"/>
    <w:rsid w:val="00F551D9"/>
    <w:rsid w:val="00F55FB9"/>
    <w:rsid w:val="00F616F0"/>
    <w:rsid w:val="00F6696B"/>
    <w:rsid w:val="00F7264E"/>
    <w:rsid w:val="00F72BB2"/>
    <w:rsid w:val="00F75B9C"/>
    <w:rsid w:val="00F81131"/>
    <w:rsid w:val="00F82FAA"/>
    <w:rsid w:val="00F83A76"/>
    <w:rsid w:val="00F866FC"/>
    <w:rsid w:val="00F87B09"/>
    <w:rsid w:val="00F87E7E"/>
    <w:rsid w:val="00F910BB"/>
    <w:rsid w:val="00F91786"/>
    <w:rsid w:val="00F9715E"/>
    <w:rsid w:val="00FA179B"/>
    <w:rsid w:val="00FA2070"/>
    <w:rsid w:val="00FB3F55"/>
    <w:rsid w:val="00FC5F59"/>
    <w:rsid w:val="00FC6163"/>
    <w:rsid w:val="00FD444D"/>
    <w:rsid w:val="00FD72CA"/>
    <w:rsid w:val="00FE0A21"/>
    <w:rsid w:val="00FE5268"/>
    <w:rsid w:val="00FF616E"/>
    <w:rsid w:val="01762A85"/>
    <w:rsid w:val="01AD42D7"/>
    <w:rsid w:val="028700F0"/>
    <w:rsid w:val="028F51D2"/>
    <w:rsid w:val="02FE3E8A"/>
    <w:rsid w:val="03463941"/>
    <w:rsid w:val="05177082"/>
    <w:rsid w:val="06C740B3"/>
    <w:rsid w:val="06E00AAE"/>
    <w:rsid w:val="07946AB4"/>
    <w:rsid w:val="083A1BE1"/>
    <w:rsid w:val="093D5D3C"/>
    <w:rsid w:val="09BB6B77"/>
    <w:rsid w:val="0A540462"/>
    <w:rsid w:val="0BF66D81"/>
    <w:rsid w:val="0C845449"/>
    <w:rsid w:val="0D094146"/>
    <w:rsid w:val="0FF737E4"/>
    <w:rsid w:val="10A33AEA"/>
    <w:rsid w:val="11810322"/>
    <w:rsid w:val="144100EB"/>
    <w:rsid w:val="147709A2"/>
    <w:rsid w:val="15A40274"/>
    <w:rsid w:val="16534209"/>
    <w:rsid w:val="16841286"/>
    <w:rsid w:val="16AB2FB8"/>
    <w:rsid w:val="19FC741D"/>
    <w:rsid w:val="1AF86805"/>
    <w:rsid w:val="1B1B3F84"/>
    <w:rsid w:val="1C5071AD"/>
    <w:rsid w:val="1D5A5A33"/>
    <w:rsid w:val="1D8654BB"/>
    <w:rsid w:val="1E36344E"/>
    <w:rsid w:val="1E567B3E"/>
    <w:rsid w:val="20EB4F09"/>
    <w:rsid w:val="21B76AA1"/>
    <w:rsid w:val="225064C2"/>
    <w:rsid w:val="23E3708C"/>
    <w:rsid w:val="24903DFC"/>
    <w:rsid w:val="264D2488"/>
    <w:rsid w:val="26AB29DD"/>
    <w:rsid w:val="26D324CD"/>
    <w:rsid w:val="271F7621"/>
    <w:rsid w:val="2786177F"/>
    <w:rsid w:val="2972370E"/>
    <w:rsid w:val="29E54EBF"/>
    <w:rsid w:val="2A4C6190"/>
    <w:rsid w:val="2A936CA4"/>
    <w:rsid w:val="30B316DC"/>
    <w:rsid w:val="310F5D8F"/>
    <w:rsid w:val="337B2BE5"/>
    <w:rsid w:val="370F028D"/>
    <w:rsid w:val="37694DBE"/>
    <w:rsid w:val="394F755D"/>
    <w:rsid w:val="3B706BDB"/>
    <w:rsid w:val="3BB96109"/>
    <w:rsid w:val="3D017AFF"/>
    <w:rsid w:val="3ED617BA"/>
    <w:rsid w:val="3F89762E"/>
    <w:rsid w:val="40944A53"/>
    <w:rsid w:val="44A11812"/>
    <w:rsid w:val="44C11205"/>
    <w:rsid w:val="45B75949"/>
    <w:rsid w:val="4666417B"/>
    <w:rsid w:val="47890F25"/>
    <w:rsid w:val="487637D1"/>
    <w:rsid w:val="49BD15DE"/>
    <w:rsid w:val="4BF72E54"/>
    <w:rsid w:val="4DEB0502"/>
    <w:rsid w:val="4E8114DE"/>
    <w:rsid w:val="4F277802"/>
    <w:rsid w:val="4FC20AA2"/>
    <w:rsid w:val="51B82A85"/>
    <w:rsid w:val="52AB3DD0"/>
    <w:rsid w:val="574A234C"/>
    <w:rsid w:val="59496ADC"/>
    <w:rsid w:val="5A484739"/>
    <w:rsid w:val="5C7C528A"/>
    <w:rsid w:val="5E6E024F"/>
    <w:rsid w:val="600E28B5"/>
    <w:rsid w:val="6281642D"/>
    <w:rsid w:val="62FE63BA"/>
    <w:rsid w:val="63C63F45"/>
    <w:rsid w:val="64490342"/>
    <w:rsid w:val="65266740"/>
    <w:rsid w:val="658A22B9"/>
    <w:rsid w:val="65B8662E"/>
    <w:rsid w:val="65F768BF"/>
    <w:rsid w:val="67AE0DFC"/>
    <w:rsid w:val="67C30C23"/>
    <w:rsid w:val="69C1267E"/>
    <w:rsid w:val="69E53CBE"/>
    <w:rsid w:val="6A28472C"/>
    <w:rsid w:val="6B072CD5"/>
    <w:rsid w:val="6B575F6D"/>
    <w:rsid w:val="6C9F3D1B"/>
    <w:rsid w:val="6E5135AB"/>
    <w:rsid w:val="6F0A78CF"/>
    <w:rsid w:val="73247B3A"/>
    <w:rsid w:val="7361217C"/>
    <w:rsid w:val="750F1DB1"/>
    <w:rsid w:val="75CC50B7"/>
    <w:rsid w:val="75E640B4"/>
    <w:rsid w:val="764C1400"/>
    <w:rsid w:val="768608FE"/>
    <w:rsid w:val="787F24BF"/>
    <w:rsid w:val="78C52A65"/>
    <w:rsid w:val="7C114812"/>
    <w:rsid w:val="7E5B2A9C"/>
    <w:rsid w:val="7EA70D7A"/>
    <w:rsid w:val="7EAE2892"/>
    <w:rsid w:val="7FE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locked/>
    <w:uiPriority w:val="99"/>
    <w:pPr>
      <w:jc w:val="left"/>
    </w:pPr>
  </w:style>
  <w:style w:type="paragraph" w:styleId="4">
    <w:name w:val="Balloon Text"/>
    <w:basedOn w:val="1"/>
    <w:link w:val="19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000000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00"/>
      <w:u w:val="none"/>
    </w:rPr>
  </w:style>
  <w:style w:type="character" w:customStyle="1" w:styleId="14">
    <w:name w:val="标题 1 Char"/>
    <w:basedOn w:val="9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6">
    <w:name w:val="页眉 Char"/>
    <w:basedOn w:val="9"/>
    <w:link w:val="6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0">
    <w:name w:val="批注文字 Char"/>
    <w:basedOn w:val="9"/>
    <w:link w:val="3"/>
    <w:qFormat/>
    <w:locked/>
    <w:uiPriority w:val="99"/>
    <w:rPr>
      <w:rFonts w:ascii="Times New Roman" w:hAnsi="Times New Roman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8</Pages>
  <Words>493</Words>
  <Characters>2814</Characters>
  <Lines>23</Lines>
  <Paragraphs>6</Paragraphs>
  <TotalTime>8</TotalTime>
  <ScaleCrop>false</ScaleCrop>
  <LinksUpToDate>false</LinksUpToDate>
  <CharactersWithSpaces>3301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2019-05-07T01:41:00Z</dcterms:created>
  <dc:creator>gh</dc:creator>
  <cp:lastModifiedBy>叽某不知所措</cp:lastModifiedBy>
  <cp:lastPrinted>2021-09-06T09:29:00Z</cp:lastPrinted>
  <dcterms:modified xsi:type="dcterms:W3CDTF">2021-09-22T07:14:21Z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B9F10DFB8BCD4740878210731A60A6DD</vt:lpwstr>
  </property>
</Properties>
</file>