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cs="黑体"/>
          <w:bCs/>
          <w:sz w:val="32"/>
          <w:szCs w:val="32"/>
        </w:rPr>
      </w:pPr>
      <w:r>
        <w:rPr>
          <w:rFonts w:hint="eastAsia" w:eastAsia="黑体" w:cs="黑体"/>
          <w:bCs/>
          <w:sz w:val="32"/>
          <w:szCs w:val="32"/>
        </w:rPr>
        <w:t>附件2</w:t>
      </w:r>
    </w:p>
    <w:p>
      <w:pPr>
        <w:rPr>
          <w:rFonts w:hint="eastAsia"/>
        </w:rPr>
      </w:pPr>
    </w:p>
    <w:p>
      <w:pPr>
        <w:spacing w:line="560" w:lineRule="exact"/>
        <w:jc w:val="center"/>
        <w:rPr>
          <w:rStyle w:val="10"/>
          <w:rFonts w:hint="eastAsia" w:eastAsia="方正小标宋简体"/>
          <w:b w:val="0"/>
        </w:rPr>
      </w:pPr>
      <w:r>
        <w:rPr>
          <w:rStyle w:val="10"/>
          <w:rFonts w:hint="eastAsia" w:eastAsia="方正小标宋简体"/>
          <w:b w:val="0"/>
        </w:rPr>
        <w:t>中国（湖南）自由贸易试验区长沙芙蓉区块</w:t>
      </w:r>
    </w:p>
    <w:p>
      <w:pPr>
        <w:spacing w:line="560" w:lineRule="exact"/>
        <w:jc w:val="center"/>
        <w:rPr>
          <w:rStyle w:val="10"/>
          <w:rFonts w:hint="eastAsia" w:eastAsia="方正小标宋简体"/>
          <w:b w:val="0"/>
        </w:rPr>
      </w:pPr>
      <w:r>
        <w:rPr>
          <w:rStyle w:val="10"/>
          <w:rFonts w:hint="eastAsia" w:eastAsia="方正小标宋简体"/>
          <w:b w:val="0"/>
        </w:rPr>
        <w:t>商事主体住所（经营场所）登记申报</w:t>
      </w:r>
    </w:p>
    <w:p>
      <w:pPr>
        <w:spacing w:line="560" w:lineRule="exact"/>
        <w:jc w:val="center"/>
        <w:rPr>
          <w:rStyle w:val="10"/>
          <w:rFonts w:hint="eastAsia" w:eastAsia="方正小标宋简体"/>
          <w:b w:val="0"/>
        </w:rPr>
      </w:pPr>
      <w:r>
        <w:rPr>
          <w:rStyle w:val="10"/>
          <w:rFonts w:hint="eastAsia" w:eastAsia="方正小标宋简体"/>
          <w:b w:val="0"/>
        </w:rPr>
        <w:t>承诺制禁设清单</w:t>
      </w:r>
    </w:p>
    <w:p>
      <w:pPr>
        <w:rPr>
          <w:rFonts w:hint="eastAsia"/>
        </w:rPr>
      </w:pP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822"/>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黑体"/>
                <w:kern w:val="32"/>
                <w:szCs w:val="21"/>
              </w:rPr>
            </w:pPr>
            <w:r>
              <w:rPr>
                <w:rFonts w:hint="eastAsia" w:eastAsia="黑体"/>
                <w:kern w:val="32"/>
                <w:szCs w:val="21"/>
              </w:rPr>
              <w:t>序号</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黑体" w:cs="黑体"/>
                <w:bCs/>
                <w:kern w:val="32"/>
                <w:szCs w:val="21"/>
              </w:rPr>
            </w:pPr>
            <w:r>
              <w:rPr>
                <w:rFonts w:hint="eastAsia" w:eastAsia="黑体" w:cs="黑体"/>
                <w:bCs/>
                <w:kern w:val="32"/>
                <w:szCs w:val="21"/>
              </w:rPr>
              <w:t>类别</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黑体" w:cs="黑体"/>
                <w:bCs/>
                <w:kern w:val="32"/>
                <w:szCs w:val="21"/>
              </w:rPr>
            </w:pPr>
            <w:r>
              <w:rPr>
                <w:rFonts w:hint="eastAsia" w:eastAsia="黑体" w:cs="黑体"/>
                <w:bCs/>
                <w:kern w:val="32"/>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在居民住宅楼（院）内禁止开办：生产、经营、储存危险品（含易燃易爆品、危险化学品、放射性物品、腐蚀性物品）；营业性娱乐活动（含酒吧、KTV、电玩城、演艺厅、音乐茶座）；营业性互联网上网服务；产生（恶臭、刺激）异味、噪声、粉尘、腐蚀的加工、修理；营利性培训活动（含教育文化艺术培训、未成年人托管、幼儿园）；废品收购（含生活性废旧金属、生活性废旧物品）；工业固体废弃物集中贮存、处置以及生活垃圾、废弃物（动物尸体）填埋；禽畜养殖；印刷企业；动物诊疗；生猪屠宰加工</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_GB2312" w:cs="宋体"/>
                <w:kern w:val="32"/>
                <w:szCs w:val="21"/>
              </w:rPr>
            </w:pPr>
            <w:r>
              <w:rPr>
                <w:rFonts w:hint="eastAsia" w:eastAsia="仿宋_GB2312" w:cs="宋体"/>
                <w:kern w:val="32"/>
                <w:szCs w:val="21"/>
              </w:rPr>
              <w:t>《中华人民共和国消防法》、《娱乐场所管理条例》《互联网上网服务经营场所管理条例》《中华人民共和国大气污染防治法》《湖南省公众聚集场所消防安全管理办法》《中华人民共和国环境保护法》《固体废物污染环境防治法》《畜禽规模养殖污染防治条例》《印刷业经营者资格条件暂行规定》《动物诊疗机构管理办法》《长沙市商事主体经营场所禁设区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在居民住宅楼、未配套设立专用烟道的商住综合楼以及商住综合楼内与居住层相邻的商业楼层内新建、改建、扩建产生油烟、异味、废气的餐饮服务项目</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_GB2312" w:cs="宋体"/>
                <w:kern w:val="32"/>
                <w:szCs w:val="21"/>
              </w:rPr>
            </w:pPr>
            <w:r>
              <w:rPr>
                <w:rFonts w:hint="eastAsia" w:eastAsia="仿宋_GB2312" w:cs="宋体"/>
                <w:kern w:val="32"/>
                <w:szCs w:val="21"/>
              </w:rPr>
              <w:t>《中华人民共和国大气污染防治法》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3</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医疗器械的经营场所和库房不得设在居民住宅内、军事管理区（不含可租赁区）及其他不适合经营的场所</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_GB2312" w:cs="宋体"/>
                <w:kern w:val="32"/>
                <w:szCs w:val="21"/>
              </w:rPr>
            </w:pPr>
            <w:r>
              <w:rPr>
                <w:rFonts w:hint="eastAsia" w:eastAsia="仿宋_GB2312" w:cs="宋体"/>
                <w:kern w:val="32"/>
                <w:szCs w:val="21"/>
              </w:rPr>
              <w:t>《医疗器械经营质量管理规范》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4</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在非营业性用房内开办旅行社</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《旅行社条例实施细则》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5</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保障性住房</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_GB2312" w:cs="宋体"/>
                <w:kern w:val="32"/>
                <w:szCs w:val="21"/>
              </w:rPr>
            </w:pPr>
            <w:r>
              <w:rPr>
                <w:rFonts w:hint="eastAsia" w:eastAsia="仿宋_GB2312" w:cs="宋体"/>
                <w:kern w:val="32"/>
                <w:szCs w:val="21"/>
              </w:rPr>
              <w:t>《湖南省保障性住房分配和运营管理暂行办法》第八条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6</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公共租赁住房（含廉租房）</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_GB2312" w:cs="宋体"/>
                <w:kern w:val="32"/>
                <w:szCs w:val="21"/>
              </w:rPr>
            </w:pPr>
            <w:r>
              <w:rPr>
                <w:rFonts w:hint="eastAsia" w:eastAsia="仿宋_GB2312" w:cs="宋体"/>
                <w:kern w:val="32"/>
                <w:szCs w:val="21"/>
              </w:rPr>
              <w:t>《公共租赁住房管理办法》（建设部令第11号）“第二十七条 承租人有下列行为之一的，应当退回公共租赁住房：（二）改变所承租公共租赁住房用途的”。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7</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个</w:t>
            </w:r>
            <w:r>
              <w:rPr>
                <w:rFonts w:hint="eastAsia" w:eastAsia="仿宋_GB2312" w:cs="宋体"/>
                <w:spacing w:val="-8"/>
                <w:kern w:val="32"/>
                <w:szCs w:val="21"/>
              </w:rPr>
              <w:t>人购买在取得完全产权以前的经济适用住房</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宋体"/>
                <w:kern w:val="32"/>
                <w:szCs w:val="21"/>
              </w:rPr>
            </w:pPr>
            <w:r>
              <w:rPr>
                <w:rFonts w:hint="eastAsia" w:eastAsia="仿宋_GB2312" w:cs="宋体"/>
                <w:kern w:val="32"/>
                <w:szCs w:val="21"/>
              </w:rPr>
              <w:t>《经济适用住房管理办法》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8</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中、小学校周边直线距离二百米内不得设置营业性歌舞娱乐场所、互联网上网服务营业场所等不适宜未成年人活动场所。校门前二百米半径以内，不得设置台球、电子游戏机经营点</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_GB2312" w:cs="宋体"/>
                <w:kern w:val="32"/>
                <w:szCs w:val="21"/>
              </w:rPr>
            </w:pPr>
            <w:r>
              <w:rPr>
                <w:rFonts w:hint="eastAsia" w:eastAsia="仿宋_GB2312" w:cs="宋体"/>
                <w:kern w:val="32"/>
                <w:szCs w:val="21"/>
              </w:rPr>
              <w:t>《中华人民共和国未成年人保护法》、《中华人民共和国预防未成年人犯罪法》、《娱乐场所管理条例》、《互联网上网服务营业场所管理条例》、《文化部、公安部关于加强台球、电子游戏机娱乐活动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1"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9</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娱乐场所不得设立在下列地点：</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（一）房屋用途中含有住宅的建筑内；</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（二）博物馆、图书馆和被核定为文物保护单位的建筑物内；</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（三）居民住宅区；</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（四）教育法规定的中小学校周围；</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（五）依照《医疗机构管理条例》及实施细则规定取得《医疗机构执业许可证》的医院周围；</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（六）各级中国共产党委员会及其所属各工作部门、各级人民代表大会机关、各级人民政府及其所属各工作部门、各级政治协商会议机关、各级人民法院、检察院机关、各级民主党派机关周围；</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（七）车站、机场等人群密集的场所；</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（八）建筑物地下一层以下（不含地下一层）；</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（九）与危险化学品仓库毗连的区域，与危险化学品仓库的距离必须符合《危险化学品安全管理条例》的有关规定</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《娱乐场所管理办法》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10</w:t>
            </w:r>
          </w:p>
        </w:tc>
        <w:tc>
          <w:tcPr>
            <w:tcW w:w="482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下列特殊区域、场所，禁止设置卷烟经营零售点:</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（一）经营农药、化肥、油漆等有毒有害物品的商店和加油站等易燃易爆场地以及重点防火区域内；</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（二）中小学校内及校门口半径50米范围内的区域；</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（三）不固定经营场所（流动摊点、电话亭、报刊亭等）；</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（四）住所与经营场所没有分开的门店（安全保卫人员住在经营场所的除外）；</w:t>
            </w:r>
          </w:p>
          <w:p>
            <w:pPr>
              <w:spacing w:line="320" w:lineRule="exact"/>
              <w:ind w:firstLine="420" w:firstLineChars="200"/>
              <w:rPr>
                <w:rFonts w:hint="eastAsia" w:eastAsia="仿宋_GB2312" w:cs="宋体"/>
                <w:kern w:val="32"/>
                <w:szCs w:val="21"/>
              </w:rPr>
            </w:pPr>
            <w:r>
              <w:rPr>
                <w:rFonts w:hint="eastAsia" w:eastAsia="仿宋_GB2312" w:cs="宋体"/>
                <w:kern w:val="32"/>
                <w:szCs w:val="21"/>
              </w:rPr>
              <w:t>（五）烟草专卖行政主管部门判定的其他不宜设置卷烟零售点的场所。</w:t>
            </w:r>
          </w:p>
        </w:tc>
        <w:tc>
          <w:tcPr>
            <w:tcW w:w="31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仿宋_GB2312" w:cs="宋体"/>
                <w:kern w:val="32"/>
                <w:szCs w:val="21"/>
              </w:rPr>
            </w:pPr>
            <w:r>
              <w:rPr>
                <w:rFonts w:hint="eastAsia" w:eastAsia="仿宋_GB2312" w:cs="宋体"/>
                <w:kern w:val="32"/>
                <w:szCs w:val="21"/>
              </w:rPr>
              <w:t>《烟草专卖许可证管理办法》《长沙市卷烟零售点合理布局规划》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11</w:t>
            </w:r>
          </w:p>
        </w:tc>
        <w:tc>
          <w:tcPr>
            <w:tcW w:w="4822" w:type="dxa"/>
            <w:vAlign w:val="center"/>
          </w:tcPr>
          <w:p>
            <w:pPr>
              <w:spacing w:line="300" w:lineRule="exact"/>
              <w:ind w:firstLine="420" w:firstLineChars="200"/>
              <w:rPr>
                <w:rFonts w:hint="eastAsia" w:eastAsia="仿宋_GB2312" w:cs="宋体"/>
                <w:kern w:val="32"/>
                <w:szCs w:val="21"/>
              </w:rPr>
            </w:pPr>
            <w:r>
              <w:rPr>
                <w:rFonts w:hint="eastAsia" w:eastAsia="仿宋_GB2312" w:cs="宋体"/>
                <w:kern w:val="32"/>
                <w:szCs w:val="21"/>
              </w:rPr>
              <w:t>生产、储存、经营、使用易燃易爆及其他危险品的场所不得与居住场所、人员密集场所设置在同一建筑物内，并应当与居住场所保持安全距离。生产、储存、经营其他物品的场所与居住场所设置在同一建筑物内的，应当符合国家工程建设消防技术标准；生产经营场所和员工宿舍应当设有符合紧急疏散要求、标志明显、保持畅通的出口。禁止锁闭、封堵生产经营场所或者员工宿舍的出口</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《中华人民共和国消防法》《中华人民共和国安全生产法》《湖南省安全生产条例》第二十八条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12</w:t>
            </w:r>
          </w:p>
        </w:tc>
        <w:tc>
          <w:tcPr>
            <w:tcW w:w="4822" w:type="dxa"/>
            <w:vAlign w:val="center"/>
          </w:tcPr>
          <w:p>
            <w:pPr>
              <w:spacing w:line="300" w:lineRule="exact"/>
              <w:ind w:firstLine="420" w:firstLineChars="200"/>
              <w:rPr>
                <w:rFonts w:hint="eastAsia" w:eastAsia="仿宋_GB2312" w:cs="宋体"/>
                <w:kern w:val="32"/>
                <w:szCs w:val="21"/>
              </w:rPr>
            </w:pPr>
            <w:r>
              <w:rPr>
                <w:rFonts w:hint="eastAsia" w:eastAsia="仿宋_GB2312" w:cs="宋体"/>
                <w:kern w:val="32"/>
                <w:szCs w:val="21"/>
              </w:rPr>
              <w:t>禁</w:t>
            </w:r>
            <w:r>
              <w:rPr>
                <w:rFonts w:hint="eastAsia" w:eastAsia="仿宋_GB2312" w:cs="宋体"/>
                <w:spacing w:val="-8"/>
                <w:kern w:val="32"/>
                <w:szCs w:val="21"/>
              </w:rPr>
              <w:t>止在下列区域内建设畜禽养殖场、养殖小区：</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（一）饮用水水源保护区，风景名胜区；</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（二）自然保护区的核心区和缓冲区；</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（三）城镇居民区、文化教育科学研究区等人口集中区域；</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（四）法律、法规规定的其他禁止养殖区域</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《畜禽规模养殖污染防治条例》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13</w:t>
            </w:r>
          </w:p>
        </w:tc>
        <w:tc>
          <w:tcPr>
            <w:tcW w:w="4822" w:type="dxa"/>
            <w:vAlign w:val="center"/>
          </w:tcPr>
          <w:p>
            <w:pPr>
              <w:spacing w:line="300" w:lineRule="exact"/>
              <w:ind w:firstLine="420" w:firstLineChars="200"/>
              <w:rPr>
                <w:rFonts w:hint="eastAsia" w:eastAsia="仿宋_GB2312" w:cs="宋体"/>
                <w:kern w:val="32"/>
                <w:szCs w:val="21"/>
              </w:rPr>
            </w:pPr>
            <w:r>
              <w:rPr>
                <w:rFonts w:hint="eastAsia" w:eastAsia="仿宋_GB2312" w:cs="Arial"/>
                <w:szCs w:val="21"/>
                <w:shd w:val="clear" w:color="auto" w:fill="FFFFFF"/>
              </w:rPr>
              <w:t>中小学校、幼儿园的用地、校舍及场地不得擅自出租、转让，不得擅自将教学用房改作他用，不得在校园内新建教职工家属住宅以及与教学无关的建筑物、构筑物和其他设施。</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《长沙市城市中小学校幼儿园规划建设管理条例》第十七条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14</w:t>
            </w:r>
          </w:p>
        </w:tc>
        <w:tc>
          <w:tcPr>
            <w:tcW w:w="4822" w:type="dxa"/>
            <w:vAlign w:val="center"/>
          </w:tcPr>
          <w:p>
            <w:pPr>
              <w:spacing w:line="300" w:lineRule="exact"/>
              <w:ind w:firstLine="420" w:firstLineChars="200"/>
              <w:rPr>
                <w:rFonts w:hint="eastAsia" w:eastAsia="仿宋_GB2312" w:cs="宋体"/>
                <w:kern w:val="32"/>
                <w:szCs w:val="21"/>
              </w:rPr>
            </w:pPr>
            <w:r>
              <w:rPr>
                <w:rFonts w:hint="eastAsia" w:eastAsia="仿宋_GB2312" w:cs="宋体"/>
                <w:kern w:val="32"/>
                <w:szCs w:val="21"/>
              </w:rPr>
              <w:t>公共建筑和共用设施、物业服务用房不得擅自改变用途</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《中华人民共和国民法典》第二百七十四条，国务院《物业管理条例》第三十七条，国务院《物业管理条例》第四十九条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9"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15</w:t>
            </w:r>
          </w:p>
        </w:tc>
        <w:tc>
          <w:tcPr>
            <w:tcW w:w="4822" w:type="dxa"/>
            <w:vAlign w:val="center"/>
          </w:tcPr>
          <w:p>
            <w:pPr>
              <w:spacing w:line="300" w:lineRule="exact"/>
              <w:ind w:firstLine="420" w:firstLineChars="200"/>
              <w:rPr>
                <w:rFonts w:hint="eastAsia" w:eastAsia="仿宋_GB2312" w:cs="宋体"/>
                <w:kern w:val="32"/>
                <w:szCs w:val="21"/>
              </w:rPr>
            </w:pPr>
            <w:r>
              <w:rPr>
                <w:rFonts w:hint="eastAsia" w:eastAsia="仿宋_GB2312" w:cs="宋体"/>
                <w:kern w:val="32"/>
                <w:szCs w:val="21"/>
              </w:rPr>
              <w:t>危险化学品生产装置或者储存数量构成重大危险源的危险化学品储存设施（运输工具加油站、加气站除外），与下列场所、设施、区域的距离应当符合国家有关规定:</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1.居住区以及商业中心、公园等人员密集场所；</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2.学校、医院、影剧院、体育场（馆）等公共设施；</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3.饮用水源、水厂以及水源保护区；</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4.车站、码头（依法经许可从事危险化学品装卸作业的除外）、机场以及通信干线、通信枢纽、铁路线路、道路交通干线、水路交通干线、地铁风亭以及地铁站出入口；</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5.基本农田保护区、基本草原、畜禽遗传资源保护区、畜禽规模化养殖场（养殖小区）、渔业水域以及种子、种畜禽、水产苗种生产基地；</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6.河流、湖泊、风景名胜区、自然保护区；</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7.军事禁区、军事管理区；</w:t>
            </w:r>
          </w:p>
          <w:p>
            <w:pPr>
              <w:spacing w:line="300" w:lineRule="exact"/>
              <w:ind w:firstLine="420" w:firstLineChars="200"/>
              <w:rPr>
                <w:rFonts w:hint="eastAsia" w:eastAsia="仿宋_GB2312" w:cs="宋体"/>
                <w:kern w:val="32"/>
                <w:szCs w:val="21"/>
              </w:rPr>
            </w:pPr>
            <w:r>
              <w:rPr>
                <w:rFonts w:hint="eastAsia" w:eastAsia="仿宋_GB2312" w:cs="宋体"/>
                <w:kern w:val="32"/>
                <w:szCs w:val="21"/>
              </w:rPr>
              <w:t>8.</w:t>
            </w:r>
            <w:r>
              <w:rPr>
                <w:rFonts w:hint="eastAsia" w:eastAsia="仿宋_GB2312" w:cs="宋体"/>
                <w:spacing w:val="-6"/>
                <w:kern w:val="32"/>
                <w:szCs w:val="21"/>
              </w:rPr>
              <w:t>法律、行政法规规定的其他场所、设施、区域</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《危险化学品安全管理条例》第十九条规定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16</w:t>
            </w:r>
          </w:p>
        </w:tc>
        <w:tc>
          <w:tcPr>
            <w:tcW w:w="4822" w:type="dxa"/>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企业从事印刷经营活动，应当有适应业务范围需要的生产经营场所和必要的资金、设备等生产经营条件</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《印刷业管理条例》（2017年3月1日修订版）第二章印刷企业的设立第九条第三项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3"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17</w:t>
            </w:r>
          </w:p>
        </w:tc>
        <w:tc>
          <w:tcPr>
            <w:tcW w:w="4822" w:type="dxa"/>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w:t>
            </w:r>
            <w:r>
              <w:rPr>
                <w:rFonts w:hint="eastAsia" w:eastAsia="仿宋_GB2312" w:cs="宋体"/>
                <w:spacing w:val="-6"/>
                <w:kern w:val="32"/>
                <w:szCs w:val="21"/>
              </w:rPr>
              <w:t>物行政部门。</w:t>
            </w:r>
            <w:r>
              <w:rPr>
                <w:rFonts w:hint="eastAsia" w:eastAsia="仿宋_GB2312" w:cs="Arial"/>
                <w:spacing w:val="-6"/>
                <w:szCs w:val="21"/>
                <w:shd w:val="clear" w:color="auto" w:fill="FFFFFF"/>
              </w:rPr>
              <w:t>使用不可移动文物，必须遵守不改变文物原状的原则，负责保护建筑物及其附属文物的安全，不得损毁、改建、添建或者拆除不可移动文物。</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《中华人民共和国文物保护法》第二十三条——第二十六条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18</w:t>
            </w:r>
          </w:p>
        </w:tc>
        <w:tc>
          <w:tcPr>
            <w:tcW w:w="4822" w:type="dxa"/>
            <w:vAlign w:val="center"/>
          </w:tcPr>
          <w:p>
            <w:pPr>
              <w:spacing w:line="320" w:lineRule="exact"/>
              <w:ind w:firstLine="420" w:firstLineChars="200"/>
              <w:rPr>
                <w:rFonts w:hint="eastAsia" w:eastAsia="仿宋_GB2312" w:cs="宋体"/>
                <w:kern w:val="32"/>
                <w:szCs w:val="21"/>
              </w:rPr>
            </w:pPr>
            <w:r>
              <w:rPr>
                <w:rFonts w:hint="eastAsia" w:eastAsia="仿宋_GB2312" w:cs="宋体"/>
                <w:kern w:val="32"/>
                <w:szCs w:val="21"/>
              </w:rPr>
              <w:t>在集中供热管网覆盖地区，禁止新建、扩建分散燃煤供热锅炉</w:t>
            </w:r>
          </w:p>
        </w:tc>
        <w:tc>
          <w:tcPr>
            <w:tcW w:w="3173" w:type="dxa"/>
            <w:vAlign w:val="center"/>
          </w:tcPr>
          <w:p>
            <w:pPr>
              <w:spacing w:line="320" w:lineRule="exact"/>
              <w:rPr>
                <w:rFonts w:hint="eastAsia" w:eastAsia="仿宋_GB2312" w:cs="宋体"/>
                <w:kern w:val="32"/>
                <w:szCs w:val="21"/>
              </w:rPr>
            </w:pPr>
            <w:r>
              <w:rPr>
                <w:rFonts w:hint="eastAsia" w:eastAsia="仿宋_GB2312" w:cs="宋体"/>
                <w:kern w:val="32"/>
                <w:szCs w:val="21"/>
              </w:rPr>
              <w:t>《</w:t>
            </w:r>
            <w:r>
              <w:rPr>
                <w:rFonts w:hint="eastAsia" w:eastAsia="仿宋_GB2312" w:cs="宋体"/>
                <w:spacing w:val="-6"/>
                <w:kern w:val="32"/>
                <w:szCs w:val="21"/>
              </w:rPr>
              <w:t>中华人民共和国大气污染防治法》第三十九条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19</w:t>
            </w:r>
          </w:p>
        </w:tc>
        <w:tc>
          <w:tcPr>
            <w:tcW w:w="4822" w:type="dxa"/>
            <w:vAlign w:val="center"/>
          </w:tcPr>
          <w:p>
            <w:pPr>
              <w:snapToGrid w:val="0"/>
              <w:spacing w:line="320" w:lineRule="exact"/>
              <w:ind w:firstLine="420" w:firstLineChars="200"/>
              <w:rPr>
                <w:rFonts w:hint="eastAsia" w:eastAsia="仿宋_GB2312" w:cs="宋体"/>
                <w:kern w:val="32"/>
                <w:szCs w:val="21"/>
              </w:rPr>
            </w:pPr>
            <w:r>
              <w:rPr>
                <w:rFonts w:hint="eastAsia" w:eastAsia="仿宋_GB2312" w:cs="宋体"/>
                <w:szCs w:val="21"/>
                <w:shd w:val="clear" w:color="auto" w:fill="FFFFFF"/>
              </w:rPr>
              <w:t>在生态保护红线区域、永久基本农田集中区域和其他需要特别保护的区域内，禁止建设工业固体废物、危险废物集中贮存、利用、处置的设施、场所和生活垃圾填埋场</w:t>
            </w:r>
          </w:p>
        </w:tc>
        <w:tc>
          <w:tcPr>
            <w:tcW w:w="3173" w:type="dxa"/>
            <w:vAlign w:val="center"/>
          </w:tcPr>
          <w:p>
            <w:pPr>
              <w:spacing w:line="320" w:lineRule="exact"/>
              <w:rPr>
                <w:rFonts w:hint="eastAsia" w:eastAsia="仿宋_GB2312" w:cs="宋体"/>
                <w:kern w:val="32"/>
                <w:szCs w:val="21"/>
              </w:rPr>
            </w:pPr>
            <w:r>
              <w:rPr>
                <w:rStyle w:val="8"/>
                <w:rFonts w:hint="eastAsia" w:eastAsia="仿宋_GB2312" w:cs="宋体"/>
                <w:b w:val="0"/>
                <w:szCs w:val="21"/>
                <w:shd w:val="clear" w:color="auto" w:fill="FFFFFF"/>
              </w:rPr>
              <w:t>《中华人民共和国固体废物污染环境防治法》（2020年修正）</w:t>
            </w:r>
            <w:r>
              <w:rPr>
                <w:rFonts w:hint="eastAsia" w:eastAsia="仿宋_GB2312" w:cs="宋体"/>
                <w:szCs w:val="21"/>
                <w:shd w:val="clear" w:color="auto" w:fill="FFFFFF"/>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20</w:t>
            </w:r>
          </w:p>
        </w:tc>
        <w:tc>
          <w:tcPr>
            <w:tcW w:w="4822" w:type="dxa"/>
            <w:vAlign w:val="center"/>
          </w:tcPr>
          <w:p>
            <w:pPr>
              <w:snapToGrid w:val="0"/>
              <w:spacing w:line="320" w:lineRule="exact"/>
              <w:ind w:firstLine="420" w:firstLineChars="200"/>
              <w:rPr>
                <w:rFonts w:hint="eastAsia" w:eastAsia="仿宋_GB2312" w:cs="宋体"/>
                <w:szCs w:val="21"/>
                <w:shd w:val="clear" w:color="auto" w:fill="FFFFFF"/>
              </w:rPr>
            </w:pPr>
            <w:r>
              <w:rPr>
                <w:rFonts w:hint="eastAsia" w:eastAsia="仿宋_GB2312" w:cs="宋体"/>
                <w:szCs w:val="21"/>
              </w:rPr>
              <w:t>禁止在饮用水水源一级保护区内新建、改建、扩建与供水设施和保护水源无关的建设项目</w:t>
            </w:r>
          </w:p>
        </w:tc>
        <w:tc>
          <w:tcPr>
            <w:tcW w:w="3173" w:type="dxa"/>
            <w:vAlign w:val="center"/>
          </w:tcPr>
          <w:p>
            <w:pPr>
              <w:pStyle w:val="5"/>
              <w:widowControl w:val="0"/>
              <w:snapToGrid w:val="0"/>
              <w:spacing w:before="0" w:beforeAutospacing="0" w:after="0" w:afterAutospacing="0" w:line="320" w:lineRule="exact"/>
              <w:jc w:val="both"/>
              <w:rPr>
                <w:rStyle w:val="8"/>
                <w:rFonts w:hint="eastAsia" w:ascii="Times New Roman" w:hAnsi="Times New Roman" w:eastAsia="仿宋_GB2312"/>
                <w:b w:val="0"/>
                <w:sz w:val="21"/>
                <w:szCs w:val="21"/>
                <w:shd w:val="clear" w:color="auto" w:fill="FFFFFF"/>
              </w:rPr>
            </w:pPr>
            <w:r>
              <w:rPr>
                <w:rFonts w:hint="eastAsia" w:ascii="Times New Roman" w:hAnsi="Times New Roman" w:eastAsia="仿宋_GB2312"/>
                <w:sz w:val="21"/>
                <w:szCs w:val="21"/>
              </w:rPr>
              <w:t>《中华人民共和国水污染防治法》（2017年修正）第六十五条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21</w:t>
            </w:r>
          </w:p>
        </w:tc>
        <w:tc>
          <w:tcPr>
            <w:tcW w:w="4822" w:type="dxa"/>
            <w:vAlign w:val="center"/>
          </w:tcPr>
          <w:p>
            <w:pPr>
              <w:snapToGrid w:val="0"/>
              <w:spacing w:line="320" w:lineRule="exact"/>
              <w:ind w:firstLine="420" w:firstLineChars="200"/>
              <w:rPr>
                <w:rFonts w:hint="eastAsia" w:eastAsia="仿宋_GB2312" w:cs="宋体"/>
                <w:szCs w:val="21"/>
              </w:rPr>
            </w:pPr>
            <w:r>
              <w:rPr>
                <w:rFonts w:hint="eastAsia" w:eastAsia="仿宋_GB2312" w:cs="宋体"/>
                <w:szCs w:val="21"/>
              </w:rPr>
              <w:t>禁止在饮用水水源二级保护区内新建、改建、扩建排放污染物的建设项目</w:t>
            </w:r>
          </w:p>
        </w:tc>
        <w:tc>
          <w:tcPr>
            <w:tcW w:w="3173" w:type="dxa"/>
            <w:vAlign w:val="center"/>
          </w:tcPr>
          <w:p>
            <w:pPr>
              <w:snapToGrid w:val="0"/>
              <w:spacing w:line="320" w:lineRule="exact"/>
              <w:rPr>
                <w:rFonts w:hint="eastAsia" w:eastAsia="仿宋_GB2312" w:cs="宋体"/>
                <w:szCs w:val="21"/>
              </w:rPr>
            </w:pPr>
            <w:r>
              <w:rPr>
                <w:rFonts w:hint="eastAsia" w:eastAsia="仿宋_GB2312" w:cs="宋体"/>
                <w:szCs w:val="21"/>
              </w:rPr>
              <w:t>《中华人民共和国水污染防治法》（2017年修正）第六十六条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22</w:t>
            </w:r>
          </w:p>
        </w:tc>
        <w:tc>
          <w:tcPr>
            <w:tcW w:w="4822" w:type="dxa"/>
            <w:vAlign w:val="center"/>
          </w:tcPr>
          <w:p>
            <w:pPr>
              <w:pStyle w:val="5"/>
              <w:widowControl w:val="0"/>
              <w:snapToGrid w:val="0"/>
              <w:spacing w:before="0" w:beforeAutospacing="0" w:after="0" w:afterAutospacing="0" w:line="32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禁止在居民区和学校、医院、疗养院、养老院等单位周边新建、改建、扩建可能造成土壤污染的建设项目</w:t>
            </w:r>
          </w:p>
        </w:tc>
        <w:tc>
          <w:tcPr>
            <w:tcW w:w="3173" w:type="dxa"/>
            <w:vAlign w:val="center"/>
          </w:tcPr>
          <w:p>
            <w:pPr>
              <w:snapToGrid w:val="0"/>
              <w:spacing w:line="320" w:lineRule="exact"/>
              <w:rPr>
                <w:rFonts w:hint="eastAsia" w:eastAsia="仿宋_GB2312" w:cs="宋体"/>
                <w:szCs w:val="21"/>
              </w:rPr>
            </w:pPr>
            <w:r>
              <w:rPr>
                <w:rFonts w:hint="eastAsia" w:eastAsia="仿宋_GB2312" w:cs="宋体"/>
                <w:szCs w:val="21"/>
              </w:rPr>
              <w:t>《中华人民共和国土壤污染防治法》（2018年颁布）第三十二条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23</w:t>
            </w:r>
          </w:p>
        </w:tc>
        <w:tc>
          <w:tcPr>
            <w:tcW w:w="4822" w:type="dxa"/>
            <w:vAlign w:val="center"/>
          </w:tcPr>
          <w:p>
            <w:pPr>
              <w:pStyle w:val="5"/>
              <w:widowControl w:val="0"/>
              <w:snapToGrid w:val="0"/>
              <w:spacing w:before="0" w:beforeAutospacing="0" w:after="0" w:afterAutospacing="0" w:line="32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未达到土壤污染风险评估报告确定的风险管控、修复目标的建设用地地块，禁止开工建设任何与风险管控、修复无关的项目</w:t>
            </w:r>
          </w:p>
        </w:tc>
        <w:tc>
          <w:tcPr>
            <w:tcW w:w="3173" w:type="dxa"/>
            <w:vAlign w:val="center"/>
          </w:tcPr>
          <w:p>
            <w:pPr>
              <w:pStyle w:val="5"/>
              <w:widowControl w:val="0"/>
              <w:snapToGrid w:val="0"/>
              <w:spacing w:before="0" w:beforeAutospacing="0" w:after="0" w:afterAutospacing="0" w:line="320" w:lineRule="exact"/>
              <w:jc w:val="both"/>
              <w:rPr>
                <w:rFonts w:hint="eastAsia" w:ascii="Times New Roman" w:hAnsi="Times New Roman" w:eastAsia="仿宋_GB2312"/>
                <w:sz w:val="21"/>
                <w:szCs w:val="21"/>
              </w:rPr>
            </w:pPr>
            <w:r>
              <w:rPr>
                <w:rFonts w:hint="eastAsia" w:ascii="Times New Roman" w:hAnsi="Times New Roman" w:eastAsia="仿宋_GB2312"/>
                <w:sz w:val="21"/>
                <w:szCs w:val="21"/>
              </w:rPr>
              <w:t>《中华人民共和国土壤污染防治法》（2018年颁布）第六十六条第三款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24</w:t>
            </w:r>
          </w:p>
        </w:tc>
        <w:tc>
          <w:tcPr>
            <w:tcW w:w="4822" w:type="dxa"/>
            <w:vAlign w:val="center"/>
          </w:tcPr>
          <w:p>
            <w:pPr>
              <w:pStyle w:val="5"/>
              <w:widowControl w:val="0"/>
              <w:snapToGrid w:val="0"/>
              <w:spacing w:before="0" w:beforeAutospacing="0" w:after="0" w:afterAutospacing="0" w:line="320" w:lineRule="exact"/>
              <w:ind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在永久基本农田集中区域，不得新建可能造成土壤污染的建设项目</w:t>
            </w:r>
          </w:p>
        </w:tc>
        <w:tc>
          <w:tcPr>
            <w:tcW w:w="3173" w:type="dxa"/>
            <w:vAlign w:val="center"/>
          </w:tcPr>
          <w:p>
            <w:pPr>
              <w:pStyle w:val="5"/>
              <w:widowControl w:val="0"/>
              <w:snapToGrid w:val="0"/>
              <w:spacing w:before="0" w:beforeAutospacing="0" w:after="0" w:afterAutospacing="0" w:line="320" w:lineRule="exact"/>
              <w:jc w:val="both"/>
              <w:rPr>
                <w:rFonts w:hint="eastAsia" w:ascii="Times New Roman" w:hAnsi="Times New Roman" w:eastAsia="仿宋_GB2312"/>
                <w:sz w:val="21"/>
                <w:szCs w:val="21"/>
              </w:rPr>
            </w:pPr>
            <w:r>
              <w:rPr>
                <w:rFonts w:hint="eastAsia" w:ascii="Times New Roman" w:hAnsi="Times New Roman" w:eastAsia="仿宋_GB2312"/>
                <w:sz w:val="21"/>
                <w:szCs w:val="21"/>
              </w:rPr>
              <w:t>《中华人民共和国土壤污染防治法》（2018年颁布）第五十条第二款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25</w:t>
            </w:r>
          </w:p>
        </w:tc>
        <w:tc>
          <w:tcPr>
            <w:tcW w:w="4822" w:type="dxa"/>
            <w:vAlign w:val="center"/>
          </w:tcPr>
          <w:p>
            <w:pPr>
              <w:spacing w:line="320" w:lineRule="exact"/>
              <w:ind w:firstLine="420" w:firstLineChars="200"/>
              <w:rPr>
                <w:rFonts w:hint="eastAsia" w:eastAsia="仿宋_GB2312" w:cs="宋体"/>
                <w:szCs w:val="21"/>
              </w:rPr>
            </w:pPr>
            <w:r>
              <w:rPr>
                <w:rFonts w:hint="eastAsia" w:eastAsia="仿宋_GB2312"/>
                <w:szCs w:val="21"/>
                <w:shd w:val="clear" w:color="auto" w:fill="FFFFFF"/>
              </w:rPr>
              <w:t>动物诊疗场所选址距离畜禽养殖场、屠宰加工场、动物交易场所不少于200米；动物诊疗场所设有独立的出入口，出入口不得设在居民住宅楼内或者院内，不得与同一建筑物的其他用户共用通道</w:t>
            </w:r>
          </w:p>
        </w:tc>
        <w:tc>
          <w:tcPr>
            <w:tcW w:w="3173" w:type="dxa"/>
            <w:vAlign w:val="center"/>
          </w:tcPr>
          <w:p>
            <w:pPr>
              <w:pStyle w:val="5"/>
              <w:widowControl w:val="0"/>
              <w:snapToGrid w:val="0"/>
              <w:spacing w:before="0" w:beforeAutospacing="0" w:after="0" w:afterAutospacing="0" w:line="320" w:lineRule="exact"/>
              <w:jc w:val="both"/>
              <w:rPr>
                <w:rFonts w:hint="eastAsia" w:ascii="Times New Roman" w:hAnsi="Times New Roman" w:eastAsia="仿宋_GB2312"/>
                <w:sz w:val="21"/>
                <w:szCs w:val="21"/>
              </w:rPr>
            </w:pPr>
            <w:r>
              <w:rPr>
                <w:rFonts w:hint="eastAsia" w:ascii="Times New Roman" w:hAnsi="Times New Roman" w:eastAsia="仿宋_GB2312"/>
                <w:kern w:val="2"/>
                <w:sz w:val="21"/>
                <w:szCs w:val="21"/>
                <w:shd w:val="clear" w:color="auto" w:fill="FFFFFF"/>
              </w:rPr>
              <w:t>《动物诊疗机构管理办法》（2018最新）第五条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94" w:type="dxa"/>
            <w:vAlign w:val="center"/>
          </w:tcPr>
          <w:p>
            <w:pPr>
              <w:spacing w:line="320" w:lineRule="exact"/>
              <w:jc w:val="center"/>
              <w:rPr>
                <w:rFonts w:hint="eastAsia" w:eastAsia="仿宋_GB2312" w:cs="仿宋_GB2312"/>
                <w:kern w:val="32"/>
                <w:szCs w:val="21"/>
              </w:rPr>
            </w:pPr>
            <w:r>
              <w:rPr>
                <w:rFonts w:hint="eastAsia" w:eastAsia="仿宋_GB2312" w:cs="仿宋_GB2312"/>
                <w:kern w:val="32"/>
                <w:szCs w:val="21"/>
              </w:rPr>
              <w:t>26</w:t>
            </w:r>
          </w:p>
        </w:tc>
        <w:tc>
          <w:tcPr>
            <w:tcW w:w="4822" w:type="dxa"/>
            <w:vAlign w:val="center"/>
          </w:tcPr>
          <w:p>
            <w:pPr>
              <w:spacing w:line="320" w:lineRule="exact"/>
              <w:rPr>
                <w:rFonts w:hint="eastAsia" w:eastAsia="仿宋_GB2312" w:cs="宋体"/>
                <w:kern w:val="32"/>
                <w:szCs w:val="21"/>
              </w:rPr>
            </w:pPr>
            <w:r>
              <w:rPr>
                <w:rFonts w:hint="eastAsia" w:eastAsia="仿宋_GB2312" w:cs="宋体"/>
                <w:kern w:val="32"/>
                <w:szCs w:val="21"/>
              </w:rPr>
              <w:t>其他不符合法律、法规、规章规定的生产经营场所</w:t>
            </w:r>
          </w:p>
        </w:tc>
        <w:tc>
          <w:tcPr>
            <w:tcW w:w="3173" w:type="dxa"/>
            <w:vAlign w:val="center"/>
          </w:tcPr>
          <w:p>
            <w:pPr>
              <w:pStyle w:val="5"/>
              <w:widowControl w:val="0"/>
              <w:snapToGrid w:val="0"/>
              <w:spacing w:before="0" w:beforeAutospacing="0" w:after="0" w:afterAutospacing="0" w:line="320" w:lineRule="exact"/>
              <w:ind w:firstLine="420" w:firstLineChars="200"/>
              <w:jc w:val="both"/>
              <w:rPr>
                <w:rFonts w:hint="eastAsia" w:ascii="Times New Roman" w:hAnsi="Times New Roman" w:eastAsia="仿宋_GB2312"/>
                <w:sz w:val="21"/>
                <w:szCs w:val="21"/>
              </w:rPr>
            </w:pPr>
          </w:p>
        </w:tc>
      </w:tr>
    </w:tbl>
    <w:p>
      <w:pPr>
        <w:pStyle w:val="5"/>
        <w:widowControl w:val="0"/>
        <w:shd w:val="clear" w:color="auto" w:fill="FFFFFF"/>
        <w:spacing w:before="0" w:beforeAutospacing="0" w:after="0" w:afterAutospacing="0" w:line="300" w:lineRule="exact"/>
        <w:ind w:firstLine="210" w:firstLineChars="100"/>
        <w:jc w:val="both"/>
        <w:rPr>
          <w:rFonts w:eastAsia="仿宋_GB2312"/>
          <w:sz w:val="32"/>
          <w:szCs w:val="32"/>
        </w:rPr>
      </w:pPr>
      <w:r>
        <w:rPr>
          <w:rFonts w:hint="eastAsia" w:ascii="Times New Roman" w:hAnsi="Times New Roman" w:eastAsia="楷体_GB2312"/>
          <w:sz w:val="21"/>
          <w:szCs w:val="21"/>
        </w:rPr>
        <w:t>备注：本清单实行动态管理，其中内容由法律法规规定的执行部门负责解释，并依法实施监管。</w:t>
      </w:r>
    </w:p>
    <w:p>
      <w:bookmarkStart w:id="0" w:name="_GoBack"/>
      <w:bookmarkEnd w:id="0"/>
    </w:p>
    <w:sectPr>
      <w:headerReference r:id="rId3" w:type="default"/>
      <w:footerReference r:id="rId4" w:type="default"/>
      <w:footerReference r:id="rId5" w:type="even"/>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- 9 -</w: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87E5E"/>
    <w:rsid w:val="65F8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rPr>
  </w:style>
  <w:style w:type="character" w:styleId="9">
    <w:name w:val="page number"/>
    <w:basedOn w:val="7"/>
    <w:qFormat/>
    <w:uiPriority w:val="99"/>
    <w:rPr>
      <w:rFonts w:cs="Times New Roman"/>
    </w:rPr>
  </w:style>
  <w:style w:type="character" w:customStyle="1" w:styleId="10">
    <w:name w:val="标题 1 Char"/>
    <w:basedOn w:val="7"/>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2021-04-02T03:17:00Z</dcterms:created>
  <dc:creator>李青</dc:creator>
  <cp:lastModifiedBy>李青</cp:lastModifiedBy>
  <dcterms:modified xsi:type="dcterms:W3CDTF">2021-04-02T03:18:02Z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5054187FF54444FBBBA57B4AAFE30748</vt:lpwstr>
  </property>
</Properties>
</file>