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eastAsia="方正小标宋简体"/>
          <w:b/>
          <w:sz w:val="44"/>
          <w:szCs w:val="44"/>
        </w:rPr>
      </w:pPr>
      <w:r>
        <w:rPr>
          <w:rFonts w:hint="eastAsia" w:eastAsia="方正小标宋简体"/>
          <w:b/>
          <w:sz w:val="44"/>
          <w:szCs w:val="44"/>
        </w:rPr>
        <w:t>2022年度</w:t>
      </w:r>
      <w:r>
        <w:rPr>
          <w:rFonts w:hint="eastAsia" w:ascii="Microsoft Sans Serif" w:hAnsi="Microsoft Sans Serif" w:eastAsia="方正小标宋简体" w:cs="Microsoft Sans Serif"/>
          <w:b/>
          <w:sz w:val="44"/>
          <w:szCs w:val="44"/>
        </w:rPr>
        <w:t>韭菜园街道办事处</w:t>
      </w:r>
      <w:r>
        <w:rPr>
          <w:rFonts w:hint="eastAsia" w:eastAsia="方正小标宋简体"/>
          <w:b/>
          <w:sz w:val="44"/>
          <w:szCs w:val="44"/>
        </w:rPr>
        <w:t>部门整体支出绩效评价报告</w:t>
      </w:r>
    </w:p>
    <w:p>
      <w:pPr>
        <w:adjustRightInd w:val="0"/>
        <w:snapToGrid w:val="0"/>
        <w:spacing w:line="560" w:lineRule="exact"/>
        <w:ind w:firstLine="640" w:firstLineChars="200"/>
        <w:rPr>
          <w:rFonts w:ascii="仿宋" w:hAnsi="仿宋" w:eastAsia="仿宋" w:cs="仿宋_GB2312"/>
          <w:b/>
          <w:sz w:val="32"/>
          <w:szCs w:val="32"/>
        </w:rPr>
      </w:pPr>
      <w:r>
        <w:rPr>
          <w:rFonts w:hint="eastAsia" w:eastAsia="黑体"/>
          <w:sz w:val="32"/>
          <w:szCs w:val="32"/>
        </w:rPr>
        <w:t>一、部门概况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（一）部门基本情况</w:t>
      </w:r>
      <w:bookmarkStart w:id="0" w:name="_GoBack"/>
      <w:bookmarkEnd w:id="0"/>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1、组织机构设置情况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道地处长沙市中心城区，是全省政治、经济、文化交流中心。东起蓉园路、车站北路，西至芙蓉北路，南临五一大道，北接烈士公园。韭菜园街道办事处本级内设机构9个，分别为：党政综合办公室、基层党建办公室、城市管理办公室、公共服务办公室（行政审批服务办公室）、公共安全办公室、综合行政执法队、街道政务服务中心（街道党群服务中心）、街道网格化综合服务中心、退役军人服务站。此外还下辖5个基层群众性自治组织，分别是蓉园社区、汤家岭社区、桐荫里社区、八一桥社区、军区社区。</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2、人员情况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街道在职人员5</w:t>
      </w:r>
      <w:r>
        <w:rPr>
          <w:rFonts w:ascii="仿宋" w:hAnsi="仿宋" w:eastAsia="仿宋"/>
          <w:sz w:val="32"/>
          <w:szCs w:val="32"/>
        </w:rPr>
        <w:t>0</w:t>
      </w:r>
      <w:r>
        <w:rPr>
          <w:rFonts w:hint="eastAsia" w:ascii="仿宋" w:hAnsi="仿宋" w:eastAsia="仿宋"/>
          <w:sz w:val="32"/>
          <w:szCs w:val="32"/>
        </w:rPr>
        <w:t>、政府雇员4人、转业士官3人，退休人员3</w:t>
      </w:r>
      <w:r>
        <w:rPr>
          <w:rFonts w:ascii="仿宋" w:hAnsi="仿宋" w:eastAsia="仿宋"/>
          <w:sz w:val="32"/>
          <w:szCs w:val="32"/>
        </w:rPr>
        <w:t>6</w:t>
      </w:r>
      <w:r>
        <w:rPr>
          <w:rFonts w:hint="eastAsia" w:ascii="仿宋" w:hAnsi="仿宋" w:eastAsia="仿宋"/>
          <w:sz w:val="32"/>
          <w:szCs w:val="32"/>
        </w:rPr>
        <w:t>人、遗属1人，社区人员</w:t>
      </w:r>
      <w:r>
        <w:rPr>
          <w:rFonts w:ascii="仿宋" w:hAnsi="仿宋" w:eastAsia="仿宋"/>
          <w:sz w:val="32"/>
          <w:szCs w:val="32"/>
        </w:rPr>
        <w:t>81</w:t>
      </w:r>
      <w:r>
        <w:rPr>
          <w:rFonts w:hint="eastAsia" w:ascii="仿宋" w:hAnsi="仿宋" w:eastAsia="仿宋"/>
          <w:sz w:val="32"/>
          <w:szCs w:val="32"/>
        </w:rPr>
        <w:t>人</w:t>
      </w:r>
      <w:r>
        <w:rPr>
          <w:rFonts w:ascii="仿宋" w:hAnsi="仿宋" w:eastAsia="仿宋"/>
          <w:sz w:val="32"/>
          <w:szCs w:val="32"/>
        </w:rPr>
        <w:t>，再就业退役军人</w:t>
      </w:r>
      <w:r>
        <w:rPr>
          <w:rFonts w:hint="eastAsia" w:ascii="仿宋" w:hAnsi="仿宋" w:eastAsia="仿宋"/>
          <w:sz w:val="32"/>
          <w:szCs w:val="32"/>
        </w:rPr>
        <w:t>34人</w:t>
      </w:r>
      <w:r>
        <w:rPr>
          <w:rFonts w:ascii="仿宋" w:hAnsi="仿宋" w:eastAsia="仿宋"/>
          <w:sz w:val="32"/>
          <w:szCs w:val="32"/>
        </w:rPr>
        <w:t>，</w:t>
      </w:r>
      <w:r>
        <w:rPr>
          <w:rFonts w:hint="eastAsia" w:ascii="仿宋" w:hAnsi="仿宋" w:eastAsia="仿宋"/>
          <w:sz w:val="32"/>
          <w:szCs w:val="32"/>
        </w:rPr>
        <w:t>公益性岗位人员109人，</w:t>
      </w:r>
      <w:r>
        <w:rPr>
          <w:rFonts w:ascii="仿宋" w:hAnsi="仿宋" w:eastAsia="仿宋"/>
          <w:sz w:val="32"/>
          <w:szCs w:val="32"/>
        </w:rPr>
        <w:t>环卫所人员</w:t>
      </w:r>
      <w:r>
        <w:rPr>
          <w:rFonts w:hint="eastAsia" w:ascii="仿宋" w:hAnsi="仿宋" w:eastAsia="仿宋"/>
          <w:sz w:val="32"/>
          <w:szCs w:val="32"/>
        </w:rPr>
        <w:t>108人</w:t>
      </w:r>
      <w:r>
        <w:rPr>
          <w:rFonts w:ascii="仿宋" w:hAnsi="仿宋" w:eastAsia="仿宋"/>
          <w:sz w:val="32"/>
          <w:szCs w:val="32"/>
        </w:rPr>
        <w:t>，人数总计</w:t>
      </w:r>
      <w:r>
        <w:rPr>
          <w:rFonts w:hint="eastAsia" w:ascii="仿宋" w:hAnsi="仿宋" w:eastAsia="仿宋"/>
          <w:sz w:val="32"/>
          <w:szCs w:val="32"/>
        </w:rPr>
        <w:t>426人。</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3、主要职能</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（1）贯彻执行法律、法规、规章和市、区人民政府的决定、命令、指示，保证市、区政府各项任务顺利完成。</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（2）制定街道、社区全面发展建设规划并组织实施，向辖区内社会单位布置地区性、社会性、群众性工作任务，并监督检查落实情况。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（3）负责街道财政预决算和收支管理，配合税务部门组织完成各项税收，促进区域经济发展。</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（4）开展爱国卫生、环境卫生、环境保护、绿化美化工作。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（5）参与城市建设，危房改造及居住小区的管理工作。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（6）制定本辖区社会治安综合治理规划并组织落实，加强外来人口管理，维护老年人、妇女、未成年人和残疾人的合法权益。</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（7）负责计划生育、红十字会、拥军优属、人民防空、防汛。指导监察劳动和社会保障工作。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（8）加强社区服务设施的基础建设，整合社区资源，做好社会救助工作。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（9）开展群众文化、体育活动和社区教育、卫生工作，普及科学常识，对居民进行法制和社会公德教育；组织单位和居民参与社会公益活动，建设社会主义精神文明。</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（10）指导社区自治组织工作，加强社区居民委员会建设，发挥社区代表会议作用，及时向上级政府反映居民的意见和要求。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（11）统筹协调、监督检查区职能部门派出机构的行政执法工作，组织辖区内单位和居民对其工作进行考核和民主评议。</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（12）在本部门职责范围内加强为驻区中央单位、市属单位、驻区部队和区域内企事业单位的服务。</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（13）完成区政府交办的其他任务。</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（二）部门整体支出规模、使用方向和主要内容、涉及范围等。</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1、收入支出预算安排情况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长沙市芙蓉区韭菜园街道办事处2022年财政拨款收入总预算4714.24万元，全部为一般公共预算拨款收入，无政府性基金预算收入。收入预算比2021年增加7.66%。2022年财政拨款支出总预算4714.24万元，支出包含街道机关及辖区五个社区居民委员会基本运行的经费，韭菜园街道办事处归口管理的综合项目、社区工作、环卫所工作、人大工作、综合预算等专项经费，支出预算比2021年增加7.66%。</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2、收入支出预算执行情况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收入预算为4714.24万元，全部为财政拨款收入；2022年全年决算收入合计为6505.33万元，其中一般公共预算财政拨款收入总决算为5769.61万元，政府性基金财政拨款收入0万元，其他收入735.72万元。总收入决算比预算增长137.99%，财政拨款收入决算比预算增长122.39%。</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预算支出为4714.24万元，其中预算基本支出为3435.62万元，预算项目支出1278.62万元；2022年决算支出6505.33万元，其中财政拨款支出决算5769.61万元，其他资金支出735.72万元。总支出决算比预算增长137.99%，财政局拨款支出预算比预算支出增长122.39%。</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3、收入支出结构分析</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2022年全年决算收入合计为6505.33万元，其中财政拨款收入总决算为5769.61万元，占比88.69%；其他收入735.72万元，占比11.31%。2022年决算支出6505.33万元，其中财政拨款收入5769.61万元，占比88.69%；其他资金支出735.72万元，占比11.31%。</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3、2022年街道部门整体支出情况</w:t>
      </w:r>
    </w:p>
    <w:p>
      <w:pPr>
        <w:widowControl/>
        <w:shd w:val="clear" w:color="auto" w:fill="FFFFFF"/>
        <w:spacing w:line="580" w:lineRule="atLeast"/>
        <w:ind w:firstLine="643"/>
        <w:jc w:val="left"/>
        <w:rPr>
          <w:rFonts w:ascii="仿宋" w:hAnsi="仿宋" w:eastAsia="仿宋"/>
          <w:sz w:val="32"/>
          <w:szCs w:val="32"/>
        </w:rPr>
      </w:pPr>
      <w:r>
        <w:rPr>
          <w:rFonts w:hint="eastAsia" w:ascii="仿宋" w:hAnsi="仿宋" w:eastAsia="仿宋"/>
          <w:sz w:val="32"/>
          <w:szCs w:val="32"/>
        </w:rPr>
        <w:t>韭菜园街道2022年部门整体支出规模为</w:t>
      </w:r>
      <w:r>
        <w:rPr>
          <w:rFonts w:hint="eastAsia" w:ascii="仿宋" w:hAnsi="仿宋" w:eastAsia="仿宋" w:cs="仿宋_GB2312"/>
          <w:sz w:val="32"/>
          <w:szCs w:val="32"/>
        </w:rPr>
        <w:t>6505.33</w:t>
      </w:r>
      <w:r>
        <w:rPr>
          <w:rFonts w:hint="eastAsia" w:ascii="仿宋" w:hAnsi="仿宋" w:eastAsia="仿宋"/>
          <w:sz w:val="32"/>
          <w:szCs w:val="32"/>
        </w:rPr>
        <w:t>万元，主要用于以下方面：</w:t>
      </w:r>
    </w:p>
    <w:p>
      <w:pPr>
        <w:widowControl/>
        <w:shd w:val="clear" w:color="auto" w:fill="FFFFFF"/>
        <w:spacing w:line="580" w:lineRule="atLeast"/>
        <w:ind w:firstLine="643"/>
        <w:jc w:val="left"/>
        <w:rPr>
          <w:rFonts w:ascii="仿宋" w:hAnsi="仿宋" w:eastAsia="仿宋"/>
          <w:sz w:val="32"/>
          <w:szCs w:val="32"/>
        </w:rPr>
      </w:pPr>
    </w:p>
    <w:p>
      <w:pPr>
        <w:widowControl/>
        <w:shd w:val="clear" w:color="auto" w:fill="FFFFFF"/>
        <w:spacing w:line="580" w:lineRule="atLeast"/>
        <w:ind w:firstLine="643"/>
        <w:jc w:val="left"/>
        <w:rPr>
          <w:rFonts w:ascii="仿宋" w:hAnsi="仿宋" w:eastAsia="仿宋" w:cs="宋体"/>
          <w:b/>
          <w:bCs/>
          <w:color w:val="222222"/>
          <w:kern w:val="0"/>
          <w:sz w:val="32"/>
          <w:szCs w:val="32"/>
        </w:rPr>
      </w:pPr>
    </w:p>
    <w:tbl>
      <w:tblPr>
        <w:tblStyle w:val="9"/>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1521"/>
        <w:gridCol w:w="306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（按功能分类）</w:t>
            </w:r>
          </w:p>
        </w:tc>
        <w:tc>
          <w:tcPr>
            <w:tcW w:w="1521" w:type="dxa"/>
            <w:tcBorders>
              <w:right w:val="doub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c>
          <w:tcPr>
            <w:tcW w:w="3064" w:type="dxa"/>
            <w:tcBorders>
              <w:left w:val="doub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（按支出经济分类）</w:t>
            </w:r>
          </w:p>
        </w:tc>
        <w:tc>
          <w:tcPr>
            <w:tcW w:w="1355" w:type="dxa"/>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一般公共服务支出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1988.77</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工资福利支出</w:t>
            </w:r>
          </w:p>
        </w:tc>
        <w:tc>
          <w:tcPr>
            <w:tcW w:w="1355" w:type="dxa"/>
          </w:tcPr>
          <w:p>
            <w:pPr>
              <w:spacing w:line="600" w:lineRule="exact"/>
              <w:jc w:val="center"/>
              <w:rPr>
                <w:rFonts w:ascii="仿宋" w:hAnsi="仿宋" w:eastAsia="仿宋"/>
                <w:sz w:val="24"/>
              </w:rPr>
            </w:pPr>
            <w:r>
              <w:rPr>
                <w:rFonts w:hint="eastAsia" w:ascii="仿宋" w:hAnsi="仿宋" w:eastAsia="仿宋"/>
                <w:sz w:val="24"/>
              </w:rPr>
              <w:t>3512.60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文化旅游体育与传媒支出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13.04</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商品和服务支出</w:t>
            </w:r>
          </w:p>
        </w:tc>
        <w:tc>
          <w:tcPr>
            <w:tcW w:w="1355" w:type="dxa"/>
          </w:tcPr>
          <w:p>
            <w:pPr>
              <w:spacing w:line="600" w:lineRule="exact"/>
              <w:jc w:val="center"/>
              <w:rPr>
                <w:rFonts w:ascii="仿宋" w:hAnsi="仿宋" w:eastAsia="仿宋"/>
                <w:sz w:val="24"/>
              </w:rPr>
            </w:pPr>
            <w:r>
              <w:rPr>
                <w:rFonts w:hint="eastAsia" w:ascii="仿宋" w:hAnsi="仿宋" w:eastAsia="仿宋"/>
                <w:sz w:val="24"/>
              </w:rPr>
              <w:t>1231.95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社会保障和就业支出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1704.23</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对个人和家庭的补助</w:t>
            </w:r>
          </w:p>
        </w:tc>
        <w:tc>
          <w:tcPr>
            <w:tcW w:w="1355" w:type="dxa"/>
          </w:tcPr>
          <w:p>
            <w:pPr>
              <w:spacing w:line="600" w:lineRule="exact"/>
              <w:jc w:val="center"/>
              <w:rPr>
                <w:rFonts w:ascii="仿宋" w:hAnsi="仿宋" w:eastAsia="仿宋"/>
                <w:sz w:val="24"/>
              </w:rPr>
            </w:pPr>
            <w:r>
              <w:rPr>
                <w:rFonts w:hint="eastAsia" w:ascii="仿宋" w:hAnsi="仿宋" w:eastAsia="仿宋"/>
                <w:sz w:val="24"/>
              </w:rPr>
              <w:t>459.15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卫生健康支出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166.00</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资本性支出（基本建设）</w:t>
            </w:r>
          </w:p>
        </w:tc>
        <w:tc>
          <w:tcPr>
            <w:tcW w:w="1355" w:type="dxa"/>
          </w:tcPr>
          <w:p>
            <w:pPr>
              <w:spacing w:line="600" w:lineRule="exact"/>
              <w:jc w:val="center"/>
              <w:rPr>
                <w:rFonts w:ascii="仿宋" w:hAnsi="仿宋" w:eastAsia="仿宋"/>
                <w:sz w:val="24"/>
              </w:rPr>
            </w:pPr>
            <w:r>
              <w:rPr>
                <w:rFonts w:hint="eastAsia" w:ascii="仿宋" w:hAnsi="仿宋" w:eastAsia="仿宋"/>
                <w:sz w:val="24"/>
              </w:rPr>
              <w:t>219.28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城乡社区支出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1390.79</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资本性支出</w:t>
            </w:r>
          </w:p>
        </w:tc>
        <w:tc>
          <w:tcPr>
            <w:tcW w:w="1355" w:type="dxa"/>
          </w:tcPr>
          <w:p>
            <w:pPr>
              <w:spacing w:line="600" w:lineRule="exact"/>
              <w:jc w:val="center"/>
              <w:rPr>
                <w:rFonts w:ascii="仿宋" w:hAnsi="仿宋" w:eastAsia="仿宋"/>
                <w:sz w:val="24"/>
              </w:rPr>
            </w:pPr>
            <w:r>
              <w:rPr>
                <w:rFonts w:hint="eastAsia" w:ascii="仿宋" w:hAnsi="仿宋" w:eastAsia="仿宋"/>
                <w:sz w:val="24"/>
              </w:rPr>
              <w:t>998.35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灾害防治及应急管理支出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5.00</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对企业补助</w:t>
            </w:r>
          </w:p>
        </w:tc>
        <w:tc>
          <w:tcPr>
            <w:tcW w:w="1355" w:type="dxa"/>
          </w:tcPr>
          <w:p>
            <w:pPr>
              <w:spacing w:line="600" w:lineRule="exact"/>
              <w:jc w:val="center"/>
              <w:rPr>
                <w:rFonts w:ascii="仿宋" w:hAnsi="仿宋" w:eastAsia="仿宋"/>
                <w:sz w:val="24"/>
              </w:rPr>
            </w:pPr>
            <w:r>
              <w:rPr>
                <w:rFonts w:hint="eastAsia" w:ascii="仿宋" w:hAnsi="仿宋" w:eastAsia="仿宋"/>
                <w:sz w:val="24"/>
              </w:rPr>
              <w:t>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036" w:type="dxa"/>
          </w:tcPr>
          <w:p>
            <w:pPr>
              <w:spacing w:line="600" w:lineRule="exact"/>
              <w:rPr>
                <w:rFonts w:ascii="仿宋" w:hAnsi="仿宋" w:eastAsia="仿宋"/>
                <w:sz w:val="24"/>
              </w:rPr>
            </w:pPr>
            <w:r>
              <w:rPr>
                <w:rFonts w:hint="eastAsia" w:ascii="仿宋" w:hAnsi="仿宋" w:eastAsia="仿宋"/>
                <w:sz w:val="24"/>
              </w:rPr>
              <w:t>住房保障支出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493.23</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036" w:type="dxa"/>
          </w:tcPr>
          <w:p>
            <w:pPr>
              <w:spacing w:line="600" w:lineRule="exact"/>
              <w:rPr>
                <w:rFonts w:ascii="仿宋" w:hAnsi="仿宋" w:eastAsia="仿宋"/>
                <w:sz w:val="24"/>
              </w:rPr>
            </w:pPr>
            <w:r>
              <w:rPr>
                <w:rFonts w:hint="eastAsia" w:ascii="仿宋" w:hAnsi="仿宋" w:eastAsia="仿宋"/>
                <w:sz w:val="24"/>
              </w:rPr>
              <w:t>灾害防治及应急管理支出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8.55</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036" w:type="dxa"/>
          </w:tcPr>
          <w:p>
            <w:pPr>
              <w:spacing w:line="600" w:lineRule="exact"/>
              <w:rPr>
                <w:rFonts w:ascii="仿宋" w:hAnsi="仿宋" w:eastAsia="仿宋"/>
                <w:sz w:val="24"/>
              </w:rPr>
            </w:pPr>
            <w:r>
              <w:rPr>
                <w:rFonts w:hint="eastAsia" w:ascii="仿宋" w:hAnsi="仿宋" w:eastAsia="仿宋"/>
                <w:sz w:val="24"/>
              </w:rPr>
              <w:t>其他支出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735.72</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jc w:val="center"/>
              <w:rPr>
                <w:rFonts w:ascii="仿宋" w:hAnsi="仿宋" w:eastAsia="仿宋"/>
                <w:sz w:val="24"/>
              </w:rPr>
            </w:pPr>
            <w:r>
              <w:rPr>
                <w:rFonts w:hint="eastAsia" w:ascii="仿宋" w:hAnsi="仿宋" w:eastAsia="仿宋"/>
                <w:sz w:val="24"/>
              </w:rPr>
              <w:t>合计</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6505.33</w:t>
            </w:r>
          </w:p>
        </w:tc>
        <w:tc>
          <w:tcPr>
            <w:tcW w:w="3064" w:type="dxa"/>
            <w:tcBorders>
              <w:left w:val="double" w:color="auto" w:sz="4" w:space="0"/>
            </w:tcBorders>
          </w:tcPr>
          <w:p>
            <w:pPr>
              <w:spacing w:line="600" w:lineRule="exact"/>
              <w:jc w:val="center"/>
              <w:rPr>
                <w:rFonts w:ascii="仿宋" w:hAnsi="仿宋" w:eastAsia="仿宋"/>
                <w:sz w:val="24"/>
              </w:rPr>
            </w:pPr>
            <w:r>
              <w:rPr>
                <w:rFonts w:hint="eastAsia" w:ascii="仿宋" w:hAnsi="仿宋" w:eastAsia="仿宋"/>
                <w:sz w:val="24"/>
              </w:rPr>
              <w:t>合计</w:t>
            </w:r>
          </w:p>
        </w:tc>
        <w:tc>
          <w:tcPr>
            <w:tcW w:w="1355" w:type="dxa"/>
          </w:tcPr>
          <w:p>
            <w:pPr>
              <w:spacing w:line="600" w:lineRule="exact"/>
              <w:jc w:val="center"/>
              <w:rPr>
                <w:rFonts w:ascii="仿宋" w:hAnsi="仿宋" w:eastAsia="仿宋"/>
                <w:sz w:val="24"/>
              </w:rPr>
            </w:pPr>
            <w:r>
              <w:rPr>
                <w:rFonts w:hint="eastAsia" w:ascii="仿宋" w:hAnsi="仿宋" w:eastAsia="仿宋"/>
                <w:sz w:val="24"/>
              </w:rPr>
              <w:t>6505.33</w:t>
            </w:r>
          </w:p>
        </w:tc>
      </w:tr>
    </w:tbl>
    <w:p>
      <w:pPr>
        <w:adjustRightInd w:val="0"/>
        <w:snapToGrid w:val="0"/>
        <w:spacing w:line="560" w:lineRule="exact"/>
        <w:ind w:firstLine="640" w:firstLineChars="200"/>
        <w:rPr>
          <w:rFonts w:eastAsia="黑体"/>
          <w:sz w:val="32"/>
          <w:szCs w:val="32"/>
        </w:rPr>
      </w:pPr>
      <w:r>
        <w:rPr>
          <w:rFonts w:hint="eastAsia" w:eastAsia="黑体"/>
          <w:sz w:val="32"/>
          <w:szCs w:val="32"/>
        </w:rPr>
        <w:t>二、一般公共预算支出情况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（一）基本支出</w:t>
      </w:r>
    </w:p>
    <w:p>
      <w:pPr>
        <w:spacing w:line="60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韭菜园街道办事处2022年一般公共预算基本支出3399.20万元，占比58.92%。基本支出主要用于街道人员经费和日常公用经费，其中基本工资、津贴补贴、其他工资福利支出、退休费、其他对家庭和个人的补助等。</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（二）项目支出</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1、项目资金安排情况</w:t>
      </w:r>
    </w:p>
    <w:p>
      <w:pPr>
        <w:spacing w:line="600" w:lineRule="exact"/>
        <w:ind w:firstLine="600" w:firstLineChars="200"/>
        <w:rPr>
          <w:rFonts w:ascii="仿宋" w:hAnsi="仿宋" w:eastAsia="仿宋"/>
          <w:sz w:val="32"/>
          <w:szCs w:val="32"/>
        </w:rPr>
      </w:pPr>
      <w:r>
        <w:rPr>
          <w:rFonts w:hint="eastAsia" w:ascii="华文仿宋" w:hAnsi="华文仿宋" w:eastAsia="华文仿宋"/>
          <w:sz w:val="30"/>
          <w:szCs w:val="30"/>
        </w:rPr>
        <w:t>韭菜园街道办事处2022年一般公共预算项目支出2370.41万元，占比41.08%。</w:t>
      </w:r>
      <w:r>
        <w:rPr>
          <w:rFonts w:hint="eastAsia" w:ascii="仿宋" w:hAnsi="仿宋" w:eastAsia="仿宋"/>
          <w:sz w:val="32"/>
          <w:szCs w:val="32"/>
        </w:rPr>
        <w:t>项目支出主要用于街道人大、安监、城管、社会保障、党建、公共安全等各项具体工作开展方面。</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2、项目资金实际使用情况分析</w:t>
      </w:r>
    </w:p>
    <w:tbl>
      <w:tblPr>
        <w:tblStyle w:val="9"/>
        <w:tblW w:w="8499" w:type="dxa"/>
        <w:tblInd w:w="91" w:type="dxa"/>
        <w:tblLayout w:type="autofit"/>
        <w:tblCellMar>
          <w:top w:w="0" w:type="dxa"/>
          <w:left w:w="108" w:type="dxa"/>
          <w:bottom w:w="0" w:type="dxa"/>
          <w:right w:w="108" w:type="dxa"/>
        </w:tblCellMar>
      </w:tblPr>
      <w:tblGrid>
        <w:gridCol w:w="1280"/>
        <w:gridCol w:w="5064"/>
        <w:gridCol w:w="2155"/>
      </w:tblGrid>
      <w:tr>
        <w:tblPrEx>
          <w:tblCellMar>
            <w:top w:w="0" w:type="dxa"/>
            <w:left w:w="108" w:type="dxa"/>
            <w:bottom w:w="0" w:type="dxa"/>
            <w:right w:w="108" w:type="dxa"/>
          </w:tblCellMar>
        </w:tblPrEx>
        <w:trPr>
          <w:trHeight w:val="44" w:hRule="atLeast"/>
        </w:trPr>
        <w:tc>
          <w:tcPr>
            <w:tcW w:w="12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b/>
                <w:bCs/>
                <w:kern w:val="0"/>
                <w:sz w:val="20"/>
                <w:szCs w:val="20"/>
              </w:rPr>
            </w:pPr>
            <w:r>
              <w:rPr>
                <w:rFonts w:hint="eastAsia" w:ascii="宋体" w:hAnsi="宋体" w:cs="Arial"/>
                <w:b/>
                <w:bCs/>
                <w:kern w:val="0"/>
                <w:sz w:val="20"/>
                <w:szCs w:val="20"/>
              </w:rPr>
              <w:t>功能分类</w:t>
            </w:r>
          </w:p>
        </w:tc>
        <w:tc>
          <w:tcPr>
            <w:tcW w:w="506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b/>
                <w:bCs/>
                <w:kern w:val="0"/>
                <w:sz w:val="20"/>
                <w:szCs w:val="20"/>
              </w:rPr>
            </w:pPr>
            <w:r>
              <w:rPr>
                <w:rFonts w:hint="eastAsia" w:ascii="宋体" w:hAnsi="宋体" w:cs="Arial"/>
                <w:b/>
                <w:bCs/>
                <w:kern w:val="0"/>
                <w:sz w:val="20"/>
                <w:szCs w:val="20"/>
              </w:rPr>
              <w:t>项目名称</w:t>
            </w:r>
          </w:p>
        </w:tc>
        <w:tc>
          <w:tcPr>
            <w:tcW w:w="2155"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Arial"/>
                <w:b/>
                <w:bCs/>
                <w:kern w:val="0"/>
                <w:sz w:val="20"/>
                <w:szCs w:val="20"/>
              </w:rPr>
            </w:pPr>
            <w:r>
              <w:rPr>
                <w:rFonts w:hint="eastAsia" w:ascii="宋体" w:hAnsi="宋体" w:cs="Arial"/>
                <w:b/>
                <w:bCs/>
                <w:kern w:val="0"/>
                <w:sz w:val="20"/>
                <w:szCs w:val="20"/>
              </w:rPr>
              <w:t>金额</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2010308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追加信访维稳经费专项经费（二十大）</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200,000.00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2010502</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基层统计工作经费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50,000.00</w:t>
            </w:r>
          </w:p>
        </w:tc>
      </w:tr>
      <w:tr>
        <w:tblPrEx>
          <w:tblCellMar>
            <w:top w:w="0" w:type="dxa"/>
            <w:left w:w="108" w:type="dxa"/>
            <w:bottom w:w="0" w:type="dxa"/>
            <w:right w:w="108" w:type="dxa"/>
          </w:tblCellMar>
        </w:tblPrEx>
        <w:trPr>
          <w:trHeight w:val="107"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2010602</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长财乡指[2021]002号下达乡镇财政管理经费-朝阳街道曙光社区、五里牌火车站社区、东岸黄泥塘社区、韭菜园桐荫里社区</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40,000.00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2011399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韭菜园街道米粉街产业扶持资金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840,000.00</w:t>
            </w:r>
          </w:p>
        </w:tc>
      </w:tr>
      <w:tr>
        <w:tblPrEx>
          <w:tblCellMar>
            <w:top w:w="0" w:type="dxa"/>
            <w:left w:w="108" w:type="dxa"/>
            <w:bottom w:w="0" w:type="dxa"/>
            <w:right w:w="108" w:type="dxa"/>
          </w:tblCellMar>
        </w:tblPrEx>
        <w:trPr>
          <w:trHeight w:val="107"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2013105</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长财行指〔2022〕0026号下达2021年度全市政法工作表彰奖励经费-芙蓉区韭菜园街道综治工作红旗等次乡镇（街道)</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30,000.00</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2013899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长财外指[2021]081号下达2019-2020年打击传销工作优秀单位奖励资金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9,960.00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2079999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结转2021年文明创建及综合管理经费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130,396.00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2080208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社区经费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1,300,000.00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2080208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社区办公用房租金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653,586.50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2080208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社区惠民资金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1,000,000.00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2080208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“两站两员”工作人员经费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33,600.00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2080299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2022年春节慰问资金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99,400.00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2100410</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新冠肺炎疫情防控工作经费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1,660,000.00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2022年中秋节工程款</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493,501.17</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省委周边道路交通设施及景观墙面清洗经费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79,200.00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综合运转经费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4,182,731.91</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追加2022年一线工作岗位高温慰问和疫情防控工作经费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200,000.00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拨付自建房安全整治“百日攻坚”专项行动经费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315,000.00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端午节工程款</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748,685.40</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2120399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自建房安全专项整治资金-长财资环指[2022]20号下达2021年度城市管理工作考核奖励经费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50,000.00</w:t>
            </w:r>
          </w:p>
        </w:tc>
      </w:tr>
      <w:tr>
        <w:tblPrEx>
          <w:tblCellMar>
            <w:top w:w="0" w:type="dxa"/>
            <w:left w:w="108" w:type="dxa"/>
            <w:bottom w:w="0" w:type="dxa"/>
            <w:right w:w="108" w:type="dxa"/>
          </w:tblCellMar>
        </w:tblPrEx>
        <w:trPr>
          <w:trHeight w:val="107"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2120399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长财建指[2021]164号下达2021年全市解决停车难治理停车乱两年行动计划市级专项资金-2021年停车数据采集行动专项奖补</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20,000.00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2120501</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环卫所经费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5,262,000.00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2129999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重点工作保障经费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166,100.00</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2129999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长财资环指[2021]052号市级老旧小区改造资金纺织品宿舍</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190,000.00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2129999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韭菜园街道区招辅警工资福利及代理服务费</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1,300.00</w:t>
            </w:r>
          </w:p>
        </w:tc>
      </w:tr>
      <w:tr>
        <w:tblPrEx>
          <w:tblCellMar>
            <w:top w:w="0" w:type="dxa"/>
            <w:left w:w="108" w:type="dxa"/>
            <w:bottom w:w="0" w:type="dxa"/>
            <w:right w:w="108" w:type="dxa"/>
          </w:tblCellMar>
        </w:tblPrEx>
        <w:trPr>
          <w:trHeight w:val="107"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2160299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长财外指[2021]083号下达长沙市2021四季主题促消费活动评选奖励资金-芙蓉区商务局等五家单位</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50,000.00</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2210108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长财预〔2022〕0117号下达2022年中央财政城镇保障性安居工程补助资金-老旧小区改造资金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1,212,687.58</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2210108</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长财预[2022]0054号下达2022年部分中央财政城镇保障性安居工程补助资金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2,401,000.00</w:t>
            </w:r>
          </w:p>
        </w:tc>
      </w:tr>
      <w:tr>
        <w:tblPrEx>
          <w:tblCellMar>
            <w:top w:w="0" w:type="dxa"/>
            <w:left w:w="108" w:type="dxa"/>
            <w:bottom w:w="0" w:type="dxa"/>
            <w:right w:w="108" w:type="dxa"/>
          </w:tblCellMar>
        </w:tblPrEx>
        <w:trPr>
          <w:trHeight w:val="48"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2240102</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2021年三季度安全生产季度测评奖金</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20,000.00</w:t>
            </w:r>
          </w:p>
        </w:tc>
      </w:tr>
      <w:tr>
        <w:tblPrEx>
          <w:tblCellMar>
            <w:top w:w="0" w:type="dxa"/>
            <w:left w:w="108" w:type="dxa"/>
            <w:bottom w:w="0" w:type="dxa"/>
            <w:right w:w="108" w:type="dxa"/>
          </w:tblCellMar>
        </w:tblPrEx>
        <w:trPr>
          <w:trHeight w:val="72" w:hRule="atLeast"/>
        </w:trPr>
        <w:tc>
          <w:tcPr>
            <w:tcW w:w="1280" w:type="dxa"/>
            <w:tcBorders>
              <w:top w:val="nil"/>
              <w:left w:val="single" w:color="000000" w:sz="12" w:space="0"/>
              <w:bottom w:val="single" w:color="000000" w:sz="4"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2240199</w:t>
            </w:r>
          </w:p>
        </w:tc>
        <w:tc>
          <w:tcPr>
            <w:tcW w:w="5064" w:type="dxa"/>
            <w:tcBorders>
              <w:top w:val="nil"/>
              <w:left w:val="nil"/>
              <w:bottom w:val="single" w:color="000000" w:sz="4"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自建房安全整治“百日攻坚”专项行动经费（拆控违费用50%）</w:t>
            </w:r>
          </w:p>
        </w:tc>
        <w:tc>
          <w:tcPr>
            <w:tcW w:w="215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51,114.65</w:t>
            </w:r>
          </w:p>
        </w:tc>
      </w:tr>
      <w:tr>
        <w:tblPrEx>
          <w:tblCellMar>
            <w:top w:w="0" w:type="dxa"/>
            <w:left w:w="108" w:type="dxa"/>
            <w:bottom w:w="0" w:type="dxa"/>
            <w:right w:w="108" w:type="dxa"/>
          </w:tblCellMar>
        </w:tblPrEx>
        <w:trPr>
          <w:trHeight w:val="74" w:hRule="atLeast"/>
        </w:trPr>
        <w:tc>
          <w:tcPr>
            <w:tcW w:w="1280" w:type="dxa"/>
            <w:tcBorders>
              <w:top w:val="nil"/>
              <w:left w:val="single" w:color="000000" w:sz="12" w:space="0"/>
              <w:bottom w:val="single" w:color="000000" w:sz="12" w:space="0"/>
              <w:right w:val="single" w:color="000000" w:sz="4" w:space="0"/>
            </w:tcBorders>
            <w:shd w:val="clear" w:color="000000" w:fill="FFFFFF"/>
            <w:noWrap/>
            <w:vAlign w:val="center"/>
          </w:tcPr>
          <w:p>
            <w:pPr>
              <w:widowControl/>
              <w:jc w:val="left"/>
              <w:rPr>
                <w:rFonts w:ascii="宋体" w:hAnsi="宋体" w:cs="Arial"/>
                <w:kern w:val="0"/>
                <w:sz w:val="22"/>
                <w:szCs w:val="22"/>
              </w:rPr>
            </w:pPr>
            <w:r>
              <w:rPr>
                <w:rFonts w:hint="eastAsia" w:ascii="宋体" w:hAnsi="宋体" w:cs="Arial"/>
                <w:kern w:val="0"/>
                <w:sz w:val="22"/>
                <w:szCs w:val="22"/>
              </w:rPr>
              <w:t>2240199</w:t>
            </w:r>
          </w:p>
        </w:tc>
        <w:tc>
          <w:tcPr>
            <w:tcW w:w="5064" w:type="dxa"/>
            <w:tcBorders>
              <w:top w:val="nil"/>
              <w:left w:val="nil"/>
              <w:bottom w:val="single" w:color="000000" w:sz="12" w:space="0"/>
              <w:right w:val="single" w:color="000000" w:sz="4" w:space="0"/>
            </w:tcBorders>
            <w:shd w:val="clear" w:color="000000" w:fill="FFFFFF"/>
            <w:vAlign w:val="center"/>
          </w:tcPr>
          <w:p>
            <w:pPr>
              <w:widowControl/>
              <w:jc w:val="left"/>
              <w:rPr>
                <w:rFonts w:ascii="宋体" w:hAnsi="宋体" w:cs="Arial"/>
                <w:kern w:val="0"/>
                <w:sz w:val="18"/>
                <w:szCs w:val="18"/>
              </w:rPr>
            </w:pPr>
            <w:r>
              <w:rPr>
                <w:rFonts w:hint="eastAsia" w:ascii="宋体" w:hAnsi="宋体" w:cs="Arial"/>
                <w:kern w:val="0"/>
                <w:sz w:val="18"/>
                <w:szCs w:val="18"/>
              </w:rPr>
              <w:t xml:space="preserve">  长财企指〔2022〕0024号下达2022年安全生产预防及应急专项资金（第二批）</w:t>
            </w:r>
          </w:p>
        </w:tc>
        <w:tc>
          <w:tcPr>
            <w:tcW w:w="2155" w:type="dxa"/>
            <w:tcBorders>
              <w:top w:val="nil"/>
              <w:left w:val="nil"/>
              <w:bottom w:val="single" w:color="000000" w:sz="12" w:space="0"/>
              <w:right w:val="single" w:color="000000" w:sz="4" w:space="0"/>
            </w:tcBorders>
            <w:shd w:val="clear" w:color="auto" w:fill="auto"/>
            <w:noWrap/>
            <w:vAlign w:val="center"/>
          </w:tcPr>
          <w:p>
            <w:pPr>
              <w:widowControl/>
              <w:jc w:val="right"/>
              <w:rPr>
                <w:rFonts w:ascii="宋体" w:hAnsi="宋体" w:cs="Arial"/>
                <w:kern w:val="0"/>
                <w:sz w:val="22"/>
                <w:szCs w:val="22"/>
              </w:rPr>
            </w:pPr>
            <w:r>
              <w:rPr>
                <w:rFonts w:hint="eastAsia" w:ascii="宋体" w:hAnsi="宋体" w:cs="Arial"/>
                <w:kern w:val="0"/>
                <w:sz w:val="22"/>
                <w:szCs w:val="22"/>
              </w:rPr>
              <w:t>14,526.00</w:t>
            </w:r>
          </w:p>
        </w:tc>
      </w:tr>
    </w:tbl>
    <w:p>
      <w:pPr>
        <w:spacing w:line="60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3、管理制度及执行情况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韭菜园街道办事处根据国家相关法规的规定，</w:t>
      </w:r>
      <w:r>
        <w:rPr>
          <w:rFonts w:ascii="仿宋" w:hAnsi="仿宋" w:eastAsia="仿宋"/>
          <w:sz w:val="32"/>
          <w:szCs w:val="32"/>
        </w:rPr>
        <w:t>结合单位实际，明确了人员分工及工作职责，建立健全了机关管理制度，实行制度管人、管事、管权。进一步完善了财务管理制度，</w:t>
      </w:r>
      <w:r>
        <w:rPr>
          <w:rFonts w:hint="eastAsia" w:ascii="仿宋" w:hAnsi="仿宋" w:eastAsia="仿宋"/>
          <w:sz w:val="32"/>
          <w:szCs w:val="32"/>
        </w:rPr>
        <w:t>制定了《内部财务管理控制制度》、《预算业务管理制度》、《收入支出管理总支队》、《政府采购管理相关制度》、《国有资产管理制度》等规章制度，对资金、物资进行管理和使用；严格按照财经纪律规范和使用财政资金，做到资金的使用均有完整的审批程序，并实行专人管理、转账核算、专款专用原则，</w:t>
      </w:r>
      <w:r>
        <w:rPr>
          <w:rFonts w:ascii="仿宋" w:hAnsi="仿宋" w:eastAsia="仿宋"/>
          <w:sz w:val="32"/>
          <w:szCs w:val="32"/>
        </w:rPr>
        <w:t>使财政收支预算执行取到良好的实施效果。</w:t>
      </w:r>
    </w:p>
    <w:p>
      <w:pPr>
        <w:adjustRightInd w:val="0"/>
        <w:snapToGrid w:val="0"/>
        <w:spacing w:line="560" w:lineRule="exact"/>
        <w:ind w:firstLine="640" w:firstLineChars="200"/>
        <w:rPr>
          <w:rFonts w:eastAsia="黑体"/>
          <w:sz w:val="32"/>
          <w:szCs w:val="32"/>
        </w:rPr>
      </w:pPr>
      <w:r>
        <w:rPr>
          <w:rFonts w:hint="eastAsia" w:eastAsia="黑体"/>
          <w:sz w:val="32"/>
          <w:szCs w:val="32"/>
        </w:rPr>
        <w:t>三、部门项目组织实施情况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韭菜园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adjustRightInd w:val="0"/>
        <w:snapToGrid w:val="0"/>
        <w:spacing w:line="560" w:lineRule="exact"/>
        <w:ind w:firstLine="640" w:firstLineChars="200"/>
        <w:rPr>
          <w:rFonts w:eastAsia="黑体"/>
          <w:sz w:val="32"/>
          <w:szCs w:val="32"/>
        </w:rPr>
      </w:pPr>
      <w:r>
        <w:rPr>
          <w:rFonts w:hint="eastAsia" w:eastAsia="黑体"/>
          <w:sz w:val="32"/>
          <w:szCs w:val="32"/>
        </w:rPr>
        <w:t>四、资产管理情况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（一）资产情况分析</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至2022年，我单位资产总额为555.08万元，其中流动资产417.54万元，固定资产净值137.54万元，无形资产0.00元，在建工程0.00元，其他资产0.00元，分别占比75.22%、24.78%、0%、0%、0%。</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截至2022年底，我单位占有使用车辆0.00辆、0.00元、单价50万（含）以上通用设备0.00台、0.00元、单价100万（含）以上0.00台、0.00元。</w:t>
      </w:r>
    </w:p>
    <w:p>
      <w:pPr>
        <w:widowControl/>
        <w:shd w:val="clear" w:color="auto" w:fill="FFFFFF"/>
        <w:spacing w:line="580" w:lineRule="atLeast"/>
        <w:ind w:firstLine="643"/>
        <w:jc w:val="left"/>
        <w:rPr>
          <w:rFonts w:ascii="仿宋" w:hAnsi="仿宋" w:eastAsia="仿宋"/>
          <w:sz w:val="32"/>
          <w:szCs w:val="32"/>
        </w:rPr>
      </w:pPr>
      <w:r>
        <w:rPr>
          <w:rFonts w:hint="eastAsia" w:ascii="仿宋" w:hAnsi="仿宋" w:eastAsia="仿宋"/>
          <w:sz w:val="32"/>
          <w:szCs w:val="32"/>
        </w:rPr>
        <w:t>2022年新增固定资产原值14.26万元，处置固定资产原值0.28万元；固定资产使用情况中自用资产1283.27平方米。本单位资产没有土地、房屋、车辆、在建工程等。</w:t>
      </w:r>
    </w:p>
    <w:p>
      <w:pPr>
        <w:adjustRightInd w:val="0"/>
        <w:snapToGrid w:val="0"/>
        <w:spacing w:line="560" w:lineRule="exact"/>
        <w:rPr>
          <w:rFonts w:eastAsia="仿宋_GB2312"/>
          <w:sz w:val="32"/>
          <w:szCs w:val="32"/>
        </w:rPr>
      </w:pPr>
      <w:r>
        <w:rPr>
          <w:rFonts w:hint="eastAsia" w:ascii="仿宋" w:hAnsi="仿宋" w:eastAsia="仿宋" w:cs="楷体"/>
          <w:b/>
          <w:bCs/>
          <w:sz w:val="32"/>
          <w:szCs w:val="32"/>
        </w:rPr>
        <w:t xml:space="preserve">    </w:t>
      </w:r>
      <w:r>
        <w:rPr>
          <w:rFonts w:hint="eastAsia" w:eastAsia="仿宋_GB2312"/>
          <w:sz w:val="32"/>
          <w:szCs w:val="32"/>
        </w:rPr>
        <w:t>（二）资产管理工作情况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我街道为进一步加强行政事业单位国有资产管理，合理配置和提高国有资产使用效益，推进资产管理精细化、标准化、规范化和科学化建设，2022年单位在日常管理中，做到以下几点：</w:t>
      </w:r>
    </w:p>
    <w:p>
      <w:pPr>
        <w:pStyle w:val="12"/>
        <w:ind w:firstLine="640" w:firstLineChars="200"/>
        <w:rPr>
          <w:rFonts w:ascii="仿宋" w:hAnsi="仿宋" w:eastAsia="仿宋"/>
          <w:sz w:val="32"/>
          <w:szCs w:val="32"/>
        </w:rPr>
      </w:pPr>
      <w:r>
        <w:rPr>
          <w:rFonts w:hint="eastAsia" w:ascii="仿宋" w:hAnsi="仿宋" w:eastAsia="仿宋"/>
          <w:sz w:val="32"/>
          <w:szCs w:val="32"/>
        </w:rPr>
        <w:t>一是加强资产配置管理。目前我区出台的办法资产配置标准执行，单位提出资产配置申请，国资部门进行审核、批准后才能进行政府采购。</w:t>
      </w:r>
    </w:p>
    <w:p>
      <w:pPr>
        <w:pStyle w:val="12"/>
        <w:ind w:firstLine="640" w:firstLineChars="200"/>
        <w:rPr>
          <w:rFonts w:ascii="仿宋" w:hAnsi="仿宋" w:eastAsia="仿宋"/>
          <w:sz w:val="32"/>
          <w:szCs w:val="32"/>
        </w:rPr>
      </w:pPr>
      <w:r>
        <w:rPr>
          <w:rFonts w:hint="eastAsia" w:ascii="仿宋" w:hAnsi="仿宋" w:eastAsia="仿宋"/>
          <w:sz w:val="32"/>
          <w:szCs w:val="32"/>
        </w:rPr>
        <w:t xml:space="preserve">二是强化制度建设，创新管理机制。严格按照街道下发的制度执行，创新机制，极大地提升了单位国有资产管理工作的质量和水平。                                              </w:t>
      </w:r>
    </w:p>
    <w:p>
      <w:pPr>
        <w:pStyle w:val="12"/>
        <w:ind w:firstLine="640" w:firstLineChars="200"/>
        <w:rPr>
          <w:rFonts w:ascii="仿宋" w:hAnsi="仿宋" w:eastAsia="仿宋"/>
          <w:sz w:val="32"/>
          <w:szCs w:val="32"/>
        </w:rPr>
      </w:pPr>
      <w:r>
        <w:rPr>
          <w:rFonts w:hint="eastAsia" w:ascii="仿宋" w:hAnsi="仿宋" w:eastAsia="仿宋"/>
          <w:sz w:val="32"/>
          <w:szCs w:val="32"/>
        </w:rPr>
        <w:t>三是凡涉及资产调拨、捐赠、报废、出售等处置事项，均报区财政国资部门批准，单位不得随意处置资产。</w:t>
      </w:r>
    </w:p>
    <w:p>
      <w:pPr>
        <w:adjustRightInd w:val="0"/>
        <w:snapToGrid w:val="0"/>
        <w:spacing w:line="560" w:lineRule="exact"/>
        <w:ind w:firstLine="640" w:firstLineChars="200"/>
        <w:rPr>
          <w:rFonts w:eastAsia="黑体"/>
          <w:sz w:val="32"/>
          <w:szCs w:val="32"/>
        </w:rPr>
      </w:pPr>
      <w:r>
        <w:rPr>
          <w:rFonts w:hint="eastAsia" w:eastAsia="黑体"/>
          <w:sz w:val="32"/>
          <w:szCs w:val="32"/>
        </w:rPr>
        <w:t>五、部门整体支出绩效情况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（一）经济效益分析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韭菜园街道办事处整体支出按照区财政局下达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（二）社会效率分析</w:t>
      </w:r>
    </w:p>
    <w:p>
      <w:pPr>
        <w:adjustRightInd w:val="0"/>
        <w:snapToGrid w:val="0"/>
        <w:spacing w:line="56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1、夯基固本聚合力，党建引领有效发挥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建优建强阵地堡垒。</w:t>
      </w:r>
      <w:r>
        <w:rPr>
          <w:rFonts w:ascii="仿宋" w:hAnsi="仿宋" w:eastAsia="仿宋"/>
          <w:sz w:val="32"/>
          <w:szCs w:val="32"/>
        </w:rPr>
        <w:t>深入推进</w:t>
      </w:r>
      <w:r>
        <w:rPr>
          <w:rFonts w:hint="eastAsia" w:ascii="仿宋" w:hAnsi="仿宋" w:eastAsia="仿宋"/>
          <w:sz w:val="32"/>
          <w:szCs w:val="32"/>
        </w:rPr>
        <w:t>“</w:t>
      </w:r>
      <w:r>
        <w:rPr>
          <w:rFonts w:ascii="仿宋" w:hAnsi="仿宋" w:eastAsia="仿宋"/>
          <w:sz w:val="32"/>
          <w:szCs w:val="32"/>
        </w:rPr>
        <w:t>党建聚合力</w:t>
      </w:r>
      <w:r>
        <w:rPr>
          <w:rFonts w:hint="eastAsia" w:ascii="仿宋" w:hAnsi="仿宋" w:eastAsia="仿宋"/>
          <w:sz w:val="32"/>
          <w:szCs w:val="32"/>
        </w:rPr>
        <w:t>”</w:t>
      </w:r>
      <w:r>
        <w:rPr>
          <w:rFonts w:ascii="仿宋" w:hAnsi="仿宋" w:eastAsia="仿宋"/>
          <w:sz w:val="32"/>
          <w:szCs w:val="32"/>
        </w:rPr>
        <w:t>工程，在全市率先打造党建聚合力展厅，建立全市首个党建直播间</w:t>
      </w:r>
      <w:r>
        <w:rPr>
          <w:rFonts w:hint="eastAsia" w:ascii="仿宋" w:hAnsi="仿宋" w:eastAsia="仿宋"/>
          <w:sz w:val="32"/>
          <w:szCs w:val="32"/>
        </w:rPr>
        <w:t>，先后接待省民宗委、市委党校、市直机关工委等单位参观调研共20余场，累计1000余人次，并在全区党建示范拉练观摩活动中获得优秀成绩。依托5个新时代文明实践基地，深化“红色联盟”等党建品牌特色，依托八一路红色街区、亚大时代等楼宇党群服务中心、“党建+湘绣”体验式党员教育基地等不断丰富基层党校内涵。搭建网络教育、在线教育和体验教育结合发展新形式，联合省湘绣研究所打造的“党建+非遗”活动在全网掀起热潮，吸引万余人观摩体验。打造“</w:t>
      </w:r>
      <w:r>
        <w:rPr>
          <w:rFonts w:ascii="仿宋" w:hAnsi="仿宋" w:eastAsia="仿宋"/>
          <w:sz w:val="32"/>
          <w:szCs w:val="32"/>
        </w:rPr>
        <w:t>外卖小哥红色之家</w:t>
      </w:r>
      <w:r>
        <w:rPr>
          <w:rFonts w:hint="eastAsia" w:ascii="仿宋" w:hAnsi="仿宋" w:eastAsia="仿宋"/>
          <w:sz w:val="32"/>
          <w:szCs w:val="32"/>
        </w:rPr>
        <w:t>”</w:t>
      </w:r>
      <w:r>
        <w:rPr>
          <w:rFonts w:ascii="仿宋" w:hAnsi="仿宋" w:eastAsia="仿宋"/>
          <w:sz w:val="32"/>
          <w:szCs w:val="32"/>
        </w:rPr>
        <w:t>，推动新业态、新就业群体融入城市基层党建格局</w:t>
      </w:r>
      <w:r>
        <w:rPr>
          <w:rFonts w:hint="eastAsia" w:ascii="仿宋" w:hAnsi="仿宋" w:eastAsia="仿宋"/>
          <w:sz w:val="32"/>
          <w:szCs w:val="32"/>
        </w:rPr>
        <w:t>。</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做细做实党建引领。积极探索“党建+”治理模式新路径，推进党建引领物业管理，汤家岭社区竹园公寓小区党建工作迎接全省、全市物业代表观摩学习，并获评“长沙市党建引领物业管理示范项目”。以党建引领经济赋能，举办“芙蓉夜话”专场活动，与企业共优营商环境。建立“红色议事会”会议制度，形成党建联建、问题联治、工作联动、平安联创良好局面。联合省委办公厅、省委组织部等省直单位开展党员志愿者红色认领行动，先后动员上千名党员志愿者进社区、下网格，军区社区“鱼水书院”志愿服务队被评为全市最佳“五老红”志愿服务组织。扎实开展“一课一片一实践”，推动组织生活提质增效，汤家岭社区相关工作经验在长沙党建推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用心用力学习宣传。深入学习宣传党的二十大精神，开展多层级交流研讨会，广泛发动群众多形式、自发性地学习党的二十大精神，开展“落实二十大，我要怎么干”四大系列活动。充分整合辖区资源，建立多层级、多领域宣讲师资库，省委常委、省委秘书长谢卫江、区委书记周春晖等领导来街道开展党的二十大精神宣讲活动，持续优化“在职党员讲党课”月课制度，汇集省委干部、党校老师、基层工作者等11名优秀讲师资源，进一步推动思想聚焦聚力。依托建街70周年、青年“圆桌派”等系列活动，推动党的二十大精神在韭菜园落地生根、开花结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抓牢抓实意识形态。严格落实意识形态主体责任制，强化“一岗双责”，完善网格化管理，定期排查省委周边、湖南米粉街与辖区企业单位意识形态问题，及时处置风险隐患20余条。建立健全“五定”（片组定格、人员定岗、工作定责、考核定量、监督定位）工作机制，全面推进网格化巡防管理，常态化做好省委周边综合服务保障，圆满完成全国两会、省党代会、党的二十大特护期等重点时段保障任务。统筹做好民宗、统战、武装等工作，桐荫里社区、八一路小学被命名为“2022年度长沙市民族团结进步示范单位”。巩固壮大主流舆论思想，《小巷总理》在长沙晚报推介，强化网络事前监管，及时发现、上报、处置网络有害信息上万条。</w:t>
      </w:r>
    </w:p>
    <w:p>
      <w:pPr>
        <w:numPr>
          <w:ilvl w:val="0"/>
          <w:numId w:val="1"/>
        </w:numPr>
        <w:adjustRightInd w:val="0"/>
        <w:snapToGrid w:val="0"/>
        <w:spacing w:line="560" w:lineRule="exact"/>
        <w:ind w:left="0" w:firstLine="602" w:firstLineChars="200"/>
        <w:rPr>
          <w:rFonts w:ascii="华文仿宋" w:hAnsi="华文仿宋" w:eastAsia="华文仿宋"/>
          <w:b/>
          <w:sz w:val="30"/>
          <w:szCs w:val="30"/>
        </w:rPr>
      </w:pPr>
      <w:r>
        <w:rPr>
          <w:rFonts w:hint="eastAsia" w:ascii="华文仿宋" w:hAnsi="华文仿宋" w:eastAsia="华文仿宋"/>
          <w:b/>
          <w:sz w:val="30"/>
          <w:szCs w:val="30"/>
        </w:rPr>
        <w:t>精耕细作提品质，城市能级持续提升</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城市发展更可持续。高标准推进街区提质，有力推进“百街千巷”环境综合整治提升工作，重点解决6条背街小巷道路破损、设施缺失等功能问题，并顺利通过验收。建管并重推进湖南米粉街二次提质，实现400米街区一步一景、功能布局优化升级、管理规范整洁有序。完成老旧小区提质项目6个，累计加装电梯192台。</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城市管理更加精细。严格按照“六个严格 六个到位”市容环境提升标准，常态化开展省委周边市容环境整治。深入推进“城市管理进大院”行动，有序推进市容秩序管理、安全生产、市场监督、食品安全等管理职能进省委大院，有效提升大院内综合管理、物业服务水平，大院人居环境得到持续提升。建立健全智慧城管体系，实现街面管理重点突出、集中整治、双线巡控、长效监管。全力推动生活垃圾分类减量，在争创市级垃圾分类示范街道中获考核通过，垃圾分类新时尚蔚然成风。</w:t>
      </w:r>
    </w:p>
    <w:p>
      <w:pPr>
        <w:numPr>
          <w:ilvl w:val="0"/>
          <w:numId w:val="1"/>
        </w:numPr>
        <w:adjustRightInd w:val="0"/>
        <w:snapToGrid w:val="0"/>
        <w:spacing w:line="560" w:lineRule="exact"/>
        <w:ind w:left="0" w:firstLine="643" w:firstLineChars="200"/>
        <w:rPr>
          <w:rFonts w:ascii="仿宋" w:hAnsi="仿宋" w:eastAsia="仿宋"/>
          <w:b/>
          <w:sz w:val="32"/>
          <w:szCs w:val="32"/>
        </w:rPr>
      </w:pPr>
      <w:r>
        <w:rPr>
          <w:rFonts w:hint="eastAsia" w:ascii="仿宋" w:hAnsi="仿宋" w:eastAsia="仿宋"/>
          <w:b/>
          <w:sz w:val="32"/>
          <w:szCs w:val="32"/>
        </w:rPr>
        <w:t>攻坚克难稳增长，发展动力更加强劲</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营商环境持续优化。充分利用“楼长制”“区直部门联楼宇”“稳企业、促增长—企业服务专员联企行动”等工作机制，走访辖区内重点企业215次，收集并解决问题数21个。结合街道“韭爱企927企业服务日”、扩大经济“朋友圈”等活动，搭建共享、共建、共商交流平台，先后组织70余家驻地企业单位代表进行面对面交流，了解企业用工引才、政策扶持、项目发展等问题，得到各企业高度评价认可，现场促成辖区多家企业结成合作联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重点项目稳步推进。联合区相关单位帮助解决辖区项目企业在规划报建、工商注册、税务登记等环节中的困难和问题，桔子水晶酒店五一大道店正式开业；湘邮大厦项目基坑支护工程顺利进场施工；长沙融通长城宾馆设计、招商、运营工作全力推进，已进入样板段施工验收阶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新增税源全力挖掘。做活现有存量文章，坚持每月对年税收10万元以上的企业进行收入情况分析，成功留住湖南第一工业设计研究院有限公司等有意外迁的优质企业。以商招商，以企引企，为优质企业入驻区“连线搭桥”，帮助湖南现代农业国际发展有限公司入驻芙蓉自贸区，全年新引进年税收50万以上企业4家、楼宇新增企业31个，盘活闲置楼宇6522平方米。</w:t>
      </w:r>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4、凝心聚力办实事，民生福祉不断增强</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社会大局持续稳定。</w:t>
      </w:r>
      <w:r>
        <w:rPr>
          <w:rFonts w:hint="eastAsia" w:ascii="仿宋" w:hAnsi="仿宋" w:eastAsia="仿宋"/>
          <w:sz w:val="32"/>
          <w:szCs w:val="32"/>
        </w:rPr>
        <w:t>做深做优民主法治建设，打造杜家园巷法治文化街与竹园路法治宣传长廊，汤家岭社区获评第九批“全国民主法治示范社区”，“娃娃法庭”青少年法治教育项目作为优秀项目被共青团长沙市委推荐参加湖南共青团第四届改革创新大赛。扎实开展燃气、交通、消防等领域安全隐患排查整治工作，未发生重大消防火灾和交通事故亡人事件。建立应急救援共建共享机制，街道应急能力建设“五化”工作模式获省应急厅推广，被国家应急管理能力建设重大课题组选用为“推进国家应急管理体系与管理能力现代化建设”重大课题研究。</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疫情防控有力有序。</w:t>
      </w:r>
      <w:r>
        <w:rPr>
          <w:rFonts w:ascii="仿宋" w:hAnsi="仿宋" w:eastAsia="仿宋"/>
          <w:sz w:val="32"/>
          <w:szCs w:val="32"/>
        </w:rPr>
        <w:t>从早从快、从细从实落实各项防控措施</w:t>
      </w:r>
      <w:r>
        <w:rPr>
          <w:rFonts w:hint="eastAsia" w:ascii="仿宋" w:hAnsi="仿宋" w:eastAsia="仿宋"/>
          <w:sz w:val="32"/>
          <w:szCs w:val="32"/>
        </w:rPr>
        <w:t>，</w:t>
      </w:r>
      <w:r>
        <w:rPr>
          <w:rFonts w:ascii="仿宋" w:hAnsi="仿宋" w:eastAsia="仿宋"/>
          <w:sz w:val="32"/>
          <w:szCs w:val="32"/>
        </w:rPr>
        <w:t>全力以赴做好</w:t>
      </w:r>
      <w:r>
        <w:rPr>
          <w:rFonts w:hint="eastAsia" w:ascii="仿宋" w:hAnsi="仿宋" w:eastAsia="仿宋"/>
          <w:sz w:val="32"/>
          <w:szCs w:val="32"/>
        </w:rPr>
        <w:t>重点涉疫人员</w:t>
      </w:r>
      <w:r>
        <w:rPr>
          <w:rFonts w:ascii="仿宋" w:hAnsi="仿宋" w:eastAsia="仿宋"/>
          <w:sz w:val="32"/>
          <w:szCs w:val="32"/>
        </w:rPr>
        <w:t>精准排查、精准管控</w:t>
      </w:r>
      <w:r>
        <w:rPr>
          <w:rFonts w:hint="eastAsia" w:ascii="仿宋" w:hAnsi="仿宋" w:eastAsia="仿宋"/>
          <w:sz w:val="32"/>
          <w:szCs w:val="32"/>
        </w:rPr>
        <w:t>，未发生疫情聚集性传播</w:t>
      </w:r>
      <w:r>
        <w:rPr>
          <w:rFonts w:ascii="仿宋" w:hAnsi="仿宋" w:eastAsia="仿宋"/>
          <w:sz w:val="32"/>
          <w:szCs w:val="32"/>
        </w:rPr>
        <w:t>，全力</w:t>
      </w:r>
      <w:r>
        <w:rPr>
          <w:rFonts w:hint="eastAsia" w:ascii="仿宋" w:hAnsi="仿宋" w:eastAsia="仿宋"/>
          <w:sz w:val="32"/>
          <w:szCs w:val="32"/>
        </w:rPr>
        <w:t>确保</w:t>
      </w:r>
      <w:r>
        <w:rPr>
          <w:rFonts w:ascii="仿宋" w:hAnsi="仿宋" w:eastAsia="仿宋"/>
          <w:sz w:val="32"/>
          <w:szCs w:val="32"/>
        </w:rPr>
        <w:t>封控区内、省委大院及周边防控有力有序进行，</w:t>
      </w:r>
      <w:r>
        <w:rPr>
          <w:rFonts w:hint="eastAsia" w:ascii="仿宋" w:hAnsi="仿宋" w:eastAsia="仿宋"/>
          <w:sz w:val="32"/>
          <w:szCs w:val="32"/>
        </w:rPr>
        <w:t>打赢了省司法厅等重点区域疫情防控阻击战</w:t>
      </w:r>
      <w:r>
        <w:rPr>
          <w:rFonts w:ascii="仿宋" w:hAnsi="仿宋" w:eastAsia="仿宋"/>
          <w:sz w:val="32"/>
          <w:szCs w:val="32"/>
        </w:rPr>
        <w:t>，蓉园社区、汤家岭社区抗疫工作获区一季度“担当作为”奖。不断推进</w:t>
      </w:r>
      <w:r>
        <w:rPr>
          <w:rFonts w:hint="eastAsia" w:ascii="仿宋" w:hAnsi="仿宋" w:eastAsia="仿宋"/>
          <w:sz w:val="32"/>
          <w:szCs w:val="32"/>
        </w:rPr>
        <w:t>重点人员</w:t>
      </w:r>
      <w:r>
        <w:rPr>
          <w:rFonts w:ascii="仿宋" w:hAnsi="仿宋" w:eastAsia="仿宋"/>
          <w:sz w:val="32"/>
          <w:szCs w:val="32"/>
        </w:rPr>
        <w:t>新冠疫苗接种攻坚行动</w:t>
      </w:r>
      <w:r>
        <w:rPr>
          <w:rFonts w:hint="eastAsia" w:ascii="仿宋" w:hAnsi="仿宋" w:eastAsia="仿宋"/>
          <w:sz w:val="32"/>
          <w:szCs w:val="32"/>
        </w:rPr>
        <w:t>，充分发挥党员志愿者作用，省委大院内的核酸检测完全由院内资源保障。</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民生实事暖心安心。</w:t>
      </w:r>
      <w:r>
        <w:rPr>
          <w:rFonts w:hint="eastAsia" w:ascii="仿宋" w:hAnsi="仿宋" w:eastAsia="仿宋"/>
          <w:sz w:val="32"/>
          <w:szCs w:val="32"/>
        </w:rPr>
        <w:t>强力推进蓉园小区房屋安全排查整治工作，完成楼顶清理29栋、清理圈地种菜等83处，拆除面积1.7万平方米，省委大院楼顶“圈地占用”现象整治清理工作得到省委主要领导批示肯定，获小区居民点赞。全面开展拆违治危行动，2处D级危房已进入法定程序。提高人大代表履职能力，完善人大代表联络站、民情接待站建设，号召人大代表捐赠抗疫物资20余万元，为八一路小学捐赠物资约70万元。积极开展就业创业、民生保障等活动</w:t>
      </w:r>
      <w:r>
        <w:rPr>
          <w:rFonts w:ascii="仿宋" w:hAnsi="仿宋" w:eastAsia="仿宋"/>
          <w:sz w:val="32"/>
          <w:szCs w:val="32"/>
        </w:rPr>
        <w:t>，</w:t>
      </w:r>
      <w:r>
        <w:rPr>
          <w:rFonts w:hint="eastAsia" w:ascii="仿宋" w:hAnsi="仿宋" w:eastAsia="仿宋"/>
          <w:sz w:val="32"/>
          <w:szCs w:val="32"/>
        </w:rPr>
        <w:t>辖区企业提供工作岗位500余个，为百余名职工追讨工资100余万元；通过市政服务热线为居民解决“急难愁盼问题”600余起；黄土塘棚户区改造回迁房一期顺利交房；全面建成街道居家养老服务中心，并作为2022年湖南十大民生实事之老年人服务保障典型案例被湖南都市频道视频报道。</w:t>
      </w:r>
    </w:p>
    <w:p>
      <w:pPr>
        <w:adjustRightInd w:val="0"/>
        <w:snapToGrid w:val="0"/>
        <w:spacing w:line="560" w:lineRule="exact"/>
        <w:ind w:firstLine="643" w:firstLineChars="200"/>
        <w:rPr>
          <w:rFonts w:ascii="仿宋" w:hAnsi="仿宋" w:eastAsia="仿宋"/>
          <w:b/>
          <w:sz w:val="32"/>
          <w:szCs w:val="32"/>
        </w:rPr>
      </w:pPr>
      <w:r>
        <w:rPr>
          <w:rFonts w:ascii="仿宋" w:hAnsi="仿宋" w:eastAsia="仿宋"/>
          <w:b/>
          <w:sz w:val="32"/>
          <w:szCs w:val="32"/>
        </w:rPr>
        <w:t>5</w:t>
      </w:r>
      <w:r>
        <w:rPr>
          <w:rFonts w:hint="eastAsia" w:ascii="仿宋" w:hAnsi="仿宋" w:eastAsia="仿宋"/>
          <w:b/>
          <w:sz w:val="32"/>
          <w:szCs w:val="32"/>
        </w:rPr>
        <w:t>、驰而不息抓作风，干事环境更加清朗</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配优配强队伍力量。打造作风过硬的领导班子与能干务实的干部队伍，今年以来，街道2位班子得到组织提拔重用，1位中层干部提拔至区直部门担任领导职务；进一步优化街道领导班子分工与中层干部队伍，做到人岗相适、人事相宜。推动两新党组织工作创新发展，圆满完成两新综合委员会换届选举。依托“岗位大练兵”“绩效考核大会</w:t>
      </w:r>
      <w:r>
        <w:rPr>
          <w:rFonts w:ascii="仿宋" w:hAnsi="仿宋" w:eastAsia="仿宋"/>
          <w:sz w:val="32"/>
          <w:szCs w:val="32"/>
        </w:rPr>
        <w:t>”</w:t>
      </w:r>
      <w:r>
        <w:rPr>
          <w:rFonts w:hint="eastAsia" w:ascii="仿宋" w:hAnsi="仿宋" w:eastAsia="仿宋"/>
          <w:sz w:val="32"/>
          <w:szCs w:val="32"/>
        </w:rPr>
        <w:t>等活动，干事创业氛围愈发浓厚。</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推进清廉芙蓉建设。因地制宜开展社区、楼宇、小区清廉单元建设，九如巷廉政公园作为首批示范点迎接区纪委观摩验收。充分发挥群众自我监督作用，会同辖区相关省直单位产生11名蓉园小区居民自治改造委员对顶楼“圈地占用”整治清理行动进行全过程全方位监督。浓厚崇廉尚洁氛围，依托九如巷廉政文化公园等阵地，开展宣教活动16场次，累计参加人员600余名，廉政思想防线不断筑牢。</w:t>
      </w:r>
    </w:p>
    <w:p>
      <w:pPr>
        <w:adjustRightInd w:val="0"/>
        <w:snapToGrid w:val="0"/>
        <w:spacing w:line="560" w:lineRule="exact"/>
        <w:ind w:firstLine="640" w:firstLineChars="200"/>
        <w:rPr>
          <w:rFonts w:eastAsia="黑体"/>
          <w:sz w:val="32"/>
          <w:szCs w:val="32"/>
        </w:rPr>
      </w:pPr>
      <w:r>
        <w:rPr>
          <w:rFonts w:hint="eastAsia" w:eastAsia="黑体"/>
          <w:sz w:val="32"/>
          <w:szCs w:val="32"/>
        </w:rPr>
        <w:t>六、存在的主要问题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绩效评价</w:t>
      </w:r>
      <w:r>
        <w:rPr>
          <w:rFonts w:ascii="仿宋" w:hAnsi="仿宋" w:eastAsia="仿宋"/>
          <w:sz w:val="32"/>
          <w:szCs w:val="32"/>
        </w:rPr>
        <w:t>工作机制有待进一步完善，由于在平时工作中未加强对绩效监控工作的重视，绩效监控工作容易滞后，未形成对绩效目标进行监控的习惯。</w:t>
      </w:r>
    </w:p>
    <w:p>
      <w:pPr>
        <w:adjustRightInd w:val="0"/>
        <w:snapToGrid w:val="0"/>
        <w:spacing w:line="560" w:lineRule="exact"/>
        <w:ind w:firstLine="640" w:firstLineChars="200"/>
        <w:rPr>
          <w:rFonts w:eastAsia="黑体"/>
          <w:sz w:val="32"/>
          <w:szCs w:val="32"/>
        </w:rPr>
      </w:pPr>
      <w:r>
        <w:rPr>
          <w:rFonts w:hint="eastAsia" w:eastAsia="黑体"/>
          <w:sz w:val="32"/>
          <w:szCs w:val="32"/>
        </w:rPr>
        <w:t>七、改进措施和有关建议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（一）制定有效绩效监控机制，确保绩效目标完成</w:t>
      </w:r>
    </w:p>
    <w:p>
      <w:pPr>
        <w:spacing w:line="600" w:lineRule="exact"/>
        <w:ind w:firstLine="640" w:firstLineChars="200"/>
        <w:rPr>
          <w:rFonts w:ascii="仿宋" w:hAnsi="仿宋" w:eastAsia="仿宋"/>
          <w:sz w:val="32"/>
          <w:szCs w:val="32"/>
        </w:rPr>
      </w:pPr>
      <w:r>
        <w:rPr>
          <w:rFonts w:ascii="仿宋" w:hAnsi="仿宋" w:eastAsia="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（二）科学合理编制预算，严格执行预算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（三）加强管理，严控行政支出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（四）强化学习培训，提高思想认识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wordWrap w:val="0"/>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w:t>
      </w:r>
    </w:p>
    <w:p>
      <w:pPr>
        <w:wordWrap w:val="0"/>
        <w:adjustRightInd w:val="0"/>
        <w:snapToGrid w:val="0"/>
        <w:spacing w:line="560" w:lineRule="exact"/>
        <w:ind w:firstLine="640" w:firstLineChars="200"/>
        <w:jc w:val="right"/>
        <w:rPr>
          <w:rFonts w:ascii="仿宋" w:hAnsi="仿宋" w:eastAsia="仿宋"/>
          <w:sz w:val="32"/>
          <w:szCs w:val="32"/>
        </w:rPr>
      </w:pPr>
      <w:r>
        <w:rPr>
          <w:rFonts w:hint="eastAsia" w:ascii="仿宋" w:hAnsi="仿宋" w:eastAsia="仿宋"/>
          <w:sz w:val="32"/>
          <w:szCs w:val="32"/>
        </w:rPr>
        <w:t>长沙市芙蓉区韭菜园街道办事处</w:t>
      </w:r>
    </w:p>
    <w:p>
      <w:pPr>
        <w:wordWrap w:val="0"/>
        <w:adjustRightInd w:val="0"/>
        <w:snapToGrid w:val="0"/>
        <w:spacing w:line="560" w:lineRule="exact"/>
        <w:ind w:firstLine="640" w:firstLineChars="200"/>
        <w:jc w:val="right"/>
        <w:rPr>
          <w:rFonts w:ascii="仿宋" w:hAnsi="仿宋" w:eastAsia="仿宋"/>
          <w:sz w:val="32"/>
          <w:szCs w:val="32"/>
        </w:rPr>
      </w:pPr>
      <w:r>
        <w:rPr>
          <w:rFonts w:hint="eastAsia" w:ascii="仿宋" w:hAnsi="仿宋" w:eastAsia="仿宋"/>
          <w:sz w:val="32"/>
          <w:szCs w:val="32"/>
        </w:rPr>
        <w:t>2023年10月7日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Microsoft Sans Serif">
    <w:panose1 w:val="020B0604020202020204"/>
    <w:charset w:val="00"/>
    <w:family w:val="swiss"/>
    <w:pitch w:val="default"/>
    <w:sig w:usb0="E5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B14B3"/>
    <w:multiLevelType w:val="multilevel"/>
    <w:tmpl w:val="4C5B14B3"/>
    <w:lvl w:ilvl="0" w:tentative="0">
      <w:start w:val="2"/>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8C"/>
    <w:rsid w:val="00037B99"/>
    <w:rsid w:val="000552B2"/>
    <w:rsid w:val="000A0208"/>
    <w:rsid w:val="00111809"/>
    <w:rsid w:val="001254D3"/>
    <w:rsid w:val="00172D7D"/>
    <w:rsid w:val="001933D4"/>
    <w:rsid w:val="001C5F18"/>
    <w:rsid w:val="001C6C23"/>
    <w:rsid w:val="002464C1"/>
    <w:rsid w:val="00256DF5"/>
    <w:rsid w:val="00292292"/>
    <w:rsid w:val="002B2414"/>
    <w:rsid w:val="002B62C5"/>
    <w:rsid w:val="002E3931"/>
    <w:rsid w:val="0035629E"/>
    <w:rsid w:val="00361963"/>
    <w:rsid w:val="003B78D3"/>
    <w:rsid w:val="003C2A4E"/>
    <w:rsid w:val="003C39E2"/>
    <w:rsid w:val="003E06F5"/>
    <w:rsid w:val="00464FA6"/>
    <w:rsid w:val="004938E1"/>
    <w:rsid w:val="004A0CF5"/>
    <w:rsid w:val="005975CC"/>
    <w:rsid w:val="005D0723"/>
    <w:rsid w:val="005E14CE"/>
    <w:rsid w:val="005F06CA"/>
    <w:rsid w:val="00602F97"/>
    <w:rsid w:val="00614749"/>
    <w:rsid w:val="00634B95"/>
    <w:rsid w:val="00670245"/>
    <w:rsid w:val="00674688"/>
    <w:rsid w:val="006E67B2"/>
    <w:rsid w:val="007A6463"/>
    <w:rsid w:val="007D571A"/>
    <w:rsid w:val="007E0725"/>
    <w:rsid w:val="007F35A2"/>
    <w:rsid w:val="00867A8E"/>
    <w:rsid w:val="00884A6F"/>
    <w:rsid w:val="008A5750"/>
    <w:rsid w:val="00911535"/>
    <w:rsid w:val="00917136"/>
    <w:rsid w:val="009218BC"/>
    <w:rsid w:val="00963002"/>
    <w:rsid w:val="009D340E"/>
    <w:rsid w:val="009F2F47"/>
    <w:rsid w:val="00A5319E"/>
    <w:rsid w:val="00A779A7"/>
    <w:rsid w:val="00A91603"/>
    <w:rsid w:val="00A94B8C"/>
    <w:rsid w:val="00AC6977"/>
    <w:rsid w:val="00B009F7"/>
    <w:rsid w:val="00B0485A"/>
    <w:rsid w:val="00B33CEB"/>
    <w:rsid w:val="00B72490"/>
    <w:rsid w:val="00B858A6"/>
    <w:rsid w:val="00B91DD3"/>
    <w:rsid w:val="00B93723"/>
    <w:rsid w:val="00C10695"/>
    <w:rsid w:val="00C134C9"/>
    <w:rsid w:val="00C619D6"/>
    <w:rsid w:val="00CE2A52"/>
    <w:rsid w:val="00D9667C"/>
    <w:rsid w:val="00E2048A"/>
    <w:rsid w:val="00E249DC"/>
    <w:rsid w:val="00E431A6"/>
    <w:rsid w:val="00E6032E"/>
    <w:rsid w:val="00E6112B"/>
    <w:rsid w:val="00EA5309"/>
    <w:rsid w:val="00EC16A3"/>
    <w:rsid w:val="00F0556D"/>
    <w:rsid w:val="00F15E5B"/>
    <w:rsid w:val="00F2428C"/>
    <w:rsid w:val="00F27F86"/>
    <w:rsid w:val="00F53CEA"/>
    <w:rsid w:val="00F56068"/>
    <w:rsid w:val="00F77E78"/>
    <w:rsid w:val="00F81D8C"/>
    <w:rsid w:val="00F91495"/>
    <w:rsid w:val="00FC1FA6"/>
    <w:rsid w:val="252C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unhideWhenUsed/>
    <w:qFormat/>
    <w:uiPriority w:val="0"/>
    <w:pPr>
      <w:keepNext/>
      <w:keepLines/>
      <w:spacing w:line="600" w:lineRule="exact"/>
      <w:ind w:firstLine="880" w:firstLineChars="200"/>
      <w:outlineLvl w:val="1"/>
    </w:pPr>
    <w:rPr>
      <w:rFonts w:ascii="Arial" w:hAnsi="Arial" w:eastAsia="黑体" w:cstheme="minorBidi"/>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semiHidden/>
    <w:unhideWhenUsed/>
    <w:uiPriority w:val="99"/>
    <w:pPr>
      <w:spacing w:after="120"/>
    </w:pPr>
  </w:style>
  <w:style w:type="paragraph" w:styleId="4">
    <w:name w:val="Body Text Indent"/>
    <w:basedOn w:val="1"/>
    <w:link w:val="15"/>
    <w:semiHidden/>
    <w:unhideWhenUsed/>
    <w:qFormat/>
    <w:uiPriority w:val="99"/>
    <w:pPr>
      <w:spacing w:after="120"/>
      <w:ind w:left="420" w:leftChars="200"/>
    </w:p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rPr>
      <w:rFonts w:ascii="Times New Roman" w:hAnsi="Times New Roman"/>
      <w:sz w:val="24"/>
    </w:rPr>
  </w:style>
  <w:style w:type="paragraph" w:styleId="8">
    <w:name w:val="Body Text First Indent 2"/>
    <w:basedOn w:val="4"/>
    <w:link w:val="16"/>
    <w:unhideWhenUsed/>
    <w:qFormat/>
    <w:uiPriority w:val="99"/>
    <w:pPr>
      <w:ind w:firstLine="420" w:firstLineChars="200"/>
    </w:pPr>
  </w:style>
  <w:style w:type="character" w:customStyle="1" w:styleId="11">
    <w:name w:val="页脚 Char"/>
    <w:basedOn w:val="10"/>
    <w:link w:val="5"/>
    <w:uiPriority w:val="0"/>
    <w:rPr>
      <w:rFonts w:ascii="Calibri" w:hAnsi="Calibri" w:eastAsia="宋体" w:cs="Times New Roman"/>
      <w:sz w:val="18"/>
      <w:szCs w:val="24"/>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3">
    <w:name w:val="页眉 Char"/>
    <w:basedOn w:val="10"/>
    <w:link w:val="6"/>
    <w:semiHidden/>
    <w:qFormat/>
    <w:uiPriority w:val="99"/>
    <w:rPr>
      <w:rFonts w:ascii="Calibri" w:hAnsi="Calibri" w:eastAsia="宋体" w:cs="Times New Roman"/>
      <w:sz w:val="18"/>
      <w:szCs w:val="18"/>
    </w:rPr>
  </w:style>
  <w:style w:type="character" w:customStyle="1" w:styleId="14">
    <w:name w:val="正文文本 Char"/>
    <w:basedOn w:val="10"/>
    <w:link w:val="3"/>
    <w:semiHidden/>
    <w:qFormat/>
    <w:uiPriority w:val="99"/>
    <w:rPr>
      <w:rFonts w:ascii="Calibri" w:hAnsi="Calibri" w:eastAsia="宋体" w:cs="Times New Roman"/>
      <w:szCs w:val="24"/>
    </w:rPr>
  </w:style>
  <w:style w:type="character" w:customStyle="1" w:styleId="15">
    <w:name w:val="正文文本缩进 Char"/>
    <w:basedOn w:val="10"/>
    <w:link w:val="4"/>
    <w:semiHidden/>
    <w:qFormat/>
    <w:uiPriority w:val="99"/>
    <w:rPr>
      <w:rFonts w:ascii="Calibri" w:hAnsi="Calibri" w:eastAsia="宋体" w:cs="Times New Roman"/>
      <w:szCs w:val="24"/>
    </w:rPr>
  </w:style>
  <w:style w:type="character" w:customStyle="1" w:styleId="16">
    <w:name w:val="正文首行缩进 2 Char"/>
    <w:basedOn w:val="15"/>
    <w:link w:val="8"/>
    <w:qFormat/>
    <w:uiPriority w:val="99"/>
  </w:style>
  <w:style w:type="character" w:customStyle="1" w:styleId="17">
    <w:name w:val="标题 2 Char"/>
    <w:basedOn w:val="10"/>
    <w:link w:val="2"/>
    <w:qFormat/>
    <w:uiPriority w:val="0"/>
    <w:rPr>
      <w:rFonts w:ascii="Arial" w:hAnsi="Arial" w:eastAsia="黑体"/>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F6BA7-C889-4B2B-9FE8-0DE9C6166D2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15</Pages>
  <Words>7531</Words>
  <Characters>8582</Characters>
  <Lines>63</Lines>
  <Paragraphs>17</Paragraphs>
  <TotalTime>451</TotalTime>
  <ScaleCrop>false</ScaleCrop>
  <LinksUpToDate>false</LinksUpToDate>
  <CharactersWithSpaces>8718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2021-04-21T01:44:00Z</dcterms:created>
  <dc:creator>User</dc:creator>
  <cp:lastModifiedBy>Monica</cp:lastModifiedBy>
  <cp:lastPrinted>2023-06-28T01:38:00Z</cp:lastPrinted>
  <dcterms:modified xsi:type="dcterms:W3CDTF">2023-10-07T03:06:35Z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D5295D6CEA2A4E5E8300B9DECE3A0167</vt:lpwstr>
  </property>
</Properties>
</file>