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eastAsia="方正小标宋简体"/>
          <w:sz w:val="44"/>
          <w:szCs w:val="44"/>
        </w:rPr>
      </w:pPr>
      <w:r>
        <w:rPr>
          <w:rFonts w:hint="eastAsia" w:eastAsia="方正小标宋简体"/>
          <w:sz w:val="44"/>
          <w:szCs w:val="44"/>
        </w:rPr>
        <w:t>2021年度</w:t>
      </w:r>
      <w:r>
        <w:rPr>
          <w:rFonts w:hint="eastAsia" w:ascii="Microsoft Sans Serif" w:hAnsi="Microsoft Sans Serif" w:eastAsia="方正小标宋简体" w:cs="Microsoft Sans Serif"/>
          <w:sz w:val="44"/>
          <w:szCs w:val="44"/>
        </w:rPr>
        <w:t>马王堆街道办事处</w:t>
      </w:r>
      <w:r>
        <w:rPr>
          <w:rFonts w:hint="eastAsia" w:eastAsia="方正小标宋简体"/>
          <w:sz w:val="44"/>
          <w:szCs w:val="44"/>
        </w:rPr>
        <w:t>部门整体支出绩效评价报告</w:t>
      </w:r>
    </w:p>
    <w:p>
      <w:pPr>
        <w:widowControl/>
        <w:shd w:val="clear" w:color="auto" w:fill="FFFFFF"/>
        <w:spacing w:line="700" w:lineRule="exact"/>
        <w:jc w:val="center"/>
        <w:rPr>
          <w:rFonts w:eastAsia="方正小标宋简体"/>
          <w:sz w:val="44"/>
          <w:szCs w:val="44"/>
        </w:rPr>
      </w:pPr>
    </w:p>
    <w:p>
      <w:pPr>
        <w:adjustRightInd w:val="0"/>
        <w:snapToGrid w:val="0"/>
        <w:spacing w:line="600" w:lineRule="exact"/>
        <w:ind w:firstLine="560" w:firstLineChars="200"/>
        <w:jc w:val="left"/>
        <w:rPr>
          <w:rFonts w:eastAsia="方正小标宋简体"/>
          <w:sz w:val="44"/>
          <w:szCs w:val="44"/>
        </w:rPr>
      </w:pPr>
      <w:r>
        <w:rPr>
          <w:rFonts w:hint="eastAsia" w:ascii="宋体" w:hAnsi="宋体" w:cs="仿宋_GB2312"/>
          <w:sz w:val="28"/>
          <w:szCs w:val="28"/>
        </w:rPr>
        <w:t>为进一步规范财政资金管理，强化部门责任意识，切实提高财政资金使用效益，根据财政部及《长沙市芙蓉区财政支出绩效评价实施办法（试行）》（芙财绩〔2015〕4号）等文件的有关规定，我街道积极参与对2021年度部门整体支出绩效评价的工作，现将具体的情况报告如下：</w:t>
      </w:r>
    </w:p>
    <w:p>
      <w:pPr>
        <w:numPr>
          <w:ilvl w:val="0"/>
          <w:numId w:val="1"/>
        </w:numPr>
        <w:spacing w:line="560" w:lineRule="exact"/>
        <w:ind w:firstLine="640" w:firstLineChars="200"/>
        <w:rPr>
          <w:rFonts w:eastAsia="黑体"/>
          <w:kern w:val="0"/>
          <w:sz w:val="32"/>
          <w:szCs w:val="32"/>
        </w:rPr>
      </w:pPr>
      <w:r>
        <w:rPr>
          <w:rFonts w:hint="eastAsia" w:eastAsia="黑体"/>
          <w:kern w:val="0"/>
          <w:sz w:val="32"/>
          <w:szCs w:val="32"/>
        </w:rPr>
        <w:t>部门概况</w:t>
      </w:r>
    </w:p>
    <w:p>
      <w:pPr>
        <w:adjustRightInd w:val="0"/>
        <w:snapToGrid w:val="0"/>
        <w:spacing w:line="600" w:lineRule="exact"/>
        <w:ind w:firstLine="560" w:firstLineChars="200"/>
        <w:jc w:val="left"/>
        <w:rPr>
          <w:rFonts w:ascii="宋体" w:hAnsi="宋体" w:cs="仿宋_GB2312"/>
          <w:bCs/>
          <w:sz w:val="28"/>
          <w:szCs w:val="28"/>
        </w:rPr>
      </w:pPr>
      <w:r>
        <w:rPr>
          <w:rFonts w:hint="eastAsia" w:ascii="宋体" w:hAnsi="宋体" w:cs="仿宋_GB2312"/>
          <w:bCs/>
          <w:sz w:val="28"/>
          <w:szCs w:val="28"/>
        </w:rPr>
        <w:t>（一）部门基本情况</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长沙市芙蓉区马王堆街道办事处于1998年8月成立。2011年12月31日再度进行了区街划调整。现在</w:t>
      </w:r>
      <w:r>
        <w:rPr>
          <w:rFonts w:ascii="宋体" w:hAnsi="宋体" w:cs="仿宋_GB2312"/>
          <w:sz w:val="28"/>
          <w:szCs w:val="28"/>
        </w:rPr>
        <w:t>马王堆街道位于浏阳河西岸，东北面分别与马坡岭街道和开福区隔河相望，南面与东屯渡街道毗邻，西面与火星、湘湖两街接壤。街道辖区总面积3.9平方公里，常住人口约10万人，下辖</w:t>
      </w:r>
      <w:r>
        <w:rPr>
          <w:rFonts w:hint="eastAsia" w:ascii="宋体" w:hAnsi="宋体" w:cs="仿宋_GB2312"/>
          <w:sz w:val="28"/>
          <w:szCs w:val="28"/>
        </w:rPr>
        <w:t>五</w:t>
      </w:r>
      <w:r>
        <w:rPr>
          <w:rFonts w:ascii="宋体" w:hAnsi="宋体" w:cs="仿宋_GB2312"/>
          <w:sz w:val="28"/>
          <w:szCs w:val="28"/>
        </w:rPr>
        <w:t>个社区（滩头坪社区、古汉城社区、马王堆社区</w:t>
      </w:r>
      <w:r>
        <w:rPr>
          <w:rFonts w:hint="eastAsia" w:ascii="宋体" w:hAnsi="宋体" w:cs="仿宋_GB2312"/>
          <w:sz w:val="28"/>
          <w:szCs w:val="28"/>
        </w:rPr>
        <w:t>、九道湾</w:t>
      </w:r>
      <w:r>
        <w:rPr>
          <w:rFonts w:ascii="宋体" w:hAnsi="宋体" w:cs="仿宋_GB2312"/>
          <w:sz w:val="28"/>
          <w:szCs w:val="28"/>
        </w:rPr>
        <w:t>社区</w:t>
      </w:r>
      <w:r>
        <w:rPr>
          <w:rFonts w:hint="eastAsia" w:ascii="宋体" w:hAnsi="宋体" w:cs="仿宋_GB2312"/>
          <w:sz w:val="28"/>
          <w:szCs w:val="28"/>
        </w:rPr>
        <w:t>、新桥新村</w:t>
      </w:r>
      <w:r>
        <w:rPr>
          <w:rFonts w:ascii="宋体" w:hAnsi="宋体" w:cs="仿宋_GB2312"/>
          <w:sz w:val="28"/>
          <w:szCs w:val="28"/>
        </w:rPr>
        <w:t>社区）、</w:t>
      </w:r>
      <w:r>
        <w:rPr>
          <w:rFonts w:hint="eastAsia" w:ascii="宋体" w:hAnsi="宋体" w:cs="仿宋_GB2312"/>
          <w:sz w:val="28"/>
          <w:szCs w:val="28"/>
        </w:rPr>
        <w:t>一</w:t>
      </w:r>
      <w:r>
        <w:rPr>
          <w:rFonts w:ascii="宋体" w:hAnsi="宋体" w:cs="仿宋_GB2312"/>
          <w:sz w:val="28"/>
          <w:szCs w:val="28"/>
        </w:rPr>
        <w:t>个</w:t>
      </w:r>
      <w:r>
        <w:rPr>
          <w:rFonts w:hint="eastAsia" w:ascii="宋体" w:hAnsi="宋体" w:cs="仿宋_GB2312"/>
          <w:sz w:val="28"/>
          <w:szCs w:val="28"/>
        </w:rPr>
        <w:t>社区筹备组</w:t>
      </w:r>
      <w:r>
        <w:rPr>
          <w:rFonts w:ascii="宋体" w:hAnsi="宋体" w:cs="仿宋_GB2312"/>
          <w:sz w:val="28"/>
          <w:szCs w:val="28"/>
        </w:rPr>
        <w:t>（火炬</w:t>
      </w:r>
      <w:r>
        <w:rPr>
          <w:rFonts w:hint="eastAsia" w:ascii="宋体" w:hAnsi="宋体" w:cs="仿宋_GB2312"/>
          <w:sz w:val="28"/>
          <w:szCs w:val="28"/>
        </w:rPr>
        <w:t>社区筹备组</w:t>
      </w:r>
      <w:r>
        <w:rPr>
          <w:rFonts w:ascii="宋体" w:hAnsi="宋体" w:cs="仿宋_GB2312"/>
          <w:sz w:val="28"/>
          <w:szCs w:val="28"/>
        </w:rPr>
        <w:t>），共有街属企事业单位</w:t>
      </w:r>
      <w:r>
        <w:rPr>
          <w:rFonts w:hint="eastAsia" w:ascii="宋体" w:hAnsi="宋体" w:cs="仿宋_GB2312"/>
          <w:sz w:val="28"/>
          <w:szCs w:val="28"/>
        </w:rPr>
        <w:t>2</w:t>
      </w:r>
      <w:r>
        <w:rPr>
          <w:rFonts w:ascii="宋体" w:hAnsi="宋体" w:cs="仿宋_GB2312"/>
          <w:sz w:val="28"/>
          <w:szCs w:val="28"/>
        </w:rPr>
        <w:t>个（社区服务中心、长善垸堤委会）。省、市单位驻街</w:t>
      </w:r>
      <w:r>
        <w:rPr>
          <w:rFonts w:hint="eastAsia" w:ascii="宋体" w:hAnsi="宋体" w:cs="仿宋_GB2312"/>
          <w:sz w:val="28"/>
          <w:szCs w:val="28"/>
        </w:rPr>
        <w:t>单位有</w:t>
      </w:r>
      <w:r>
        <w:rPr>
          <w:rFonts w:ascii="宋体" w:hAnsi="宋体" w:cs="仿宋_GB2312"/>
          <w:sz w:val="28"/>
          <w:szCs w:val="28"/>
        </w:rPr>
        <w:t>省高级人民法院、省检察院、省审计厅、省社会主义学院、</w:t>
      </w:r>
      <w:r>
        <w:rPr>
          <w:rFonts w:hint="eastAsia" w:ascii="宋体" w:hAnsi="宋体" w:cs="仿宋_GB2312"/>
          <w:sz w:val="28"/>
          <w:szCs w:val="28"/>
        </w:rPr>
        <w:t>省老干所</w:t>
      </w:r>
      <w:r>
        <w:rPr>
          <w:rFonts w:ascii="宋体" w:hAnsi="宋体" w:cs="仿宋_GB2312"/>
          <w:sz w:val="28"/>
          <w:szCs w:val="28"/>
        </w:rPr>
        <w:t>、马王堆疗养院</w:t>
      </w:r>
      <w:r>
        <w:rPr>
          <w:rFonts w:hint="eastAsia" w:ascii="宋体" w:hAnsi="宋体" w:cs="仿宋_GB2312"/>
          <w:sz w:val="28"/>
          <w:szCs w:val="28"/>
        </w:rPr>
        <w:t>、省人民医院南院、</w:t>
      </w:r>
      <w:r>
        <w:rPr>
          <w:rFonts w:ascii="宋体" w:hAnsi="宋体" w:cs="仿宋_GB2312"/>
          <w:sz w:val="28"/>
          <w:szCs w:val="28"/>
        </w:rPr>
        <w:t>长沙晚报报社等。举世闻名的马王堆古汉墓位于马王堆疗养院内。</w:t>
      </w:r>
    </w:p>
    <w:p>
      <w:pPr>
        <w:adjustRightInd w:val="0"/>
        <w:snapToGrid w:val="0"/>
        <w:spacing w:line="600" w:lineRule="exact"/>
        <w:ind w:firstLine="560" w:firstLineChars="200"/>
        <w:jc w:val="left"/>
        <w:rPr>
          <w:rFonts w:ascii="宋体" w:hAnsi="宋体" w:cs="仿宋_GB2312"/>
          <w:b/>
          <w:sz w:val="28"/>
          <w:szCs w:val="28"/>
        </w:rPr>
      </w:pPr>
      <w:r>
        <w:rPr>
          <w:rFonts w:hint="eastAsia" w:ascii="宋体" w:hAnsi="宋体" w:cs="仿宋_GB2312"/>
          <w:sz w:val="28"/>
          <w:szCs w:val="28"/>
        </w:rPr>
        <w:t>马王堆街道办事处为乡镇级行政单位，财务核算适用行政单位会计制度。根据财政部整体支出绩效评价管理要求，为全面、系统的反映我街道整体支出绩效情况，本绩效评价报告对街道2021年整体经费支出情况进行评价。</w:t>
      </w:r>
    </w:p>
    <w:p>
      <w:pPr>
        <w:adjustRightInd w:val="0"/>
        <w:snapToGrid w:val="0"/>
        <w:spacing w:line="600" w:lineRule="exact"/>
        <w:ind w:firstLine="560" w:firstLineChars="200"/>
        <w:jc w:val="left"/>
        <w:rPr>
          <w:rFonts w:eastAsia="黑体"/>
          <w:kern w:val="0"/>
          <w:sz w:val="32"/>
          <w:szCs w:val="32"/>
        </w:rPr>
      </w:pPr>
      <w:r>
        <w:rPr>
          <w:rFonts w:hint="eastAsia" w:ascii="宋体" w:hAnsi="宋体" w:cs="仿宋_GB2312"/>
          <w:sz w:val="28"/>
          <w:szCs w:val="28"/>
        </w:rPr>
        <w:t>1、人员情况</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截止到2021年12月街道在职人员机关52人（其中在职人员49,人，政府雇员3人），退休干部45人（工资由社保统发），司法所2人（区发工资2人），社区员额人员64人，公益性岗位人员120人，街道集体干部23人（其中在职7人,退休16人），临聘人员14人，遗属3人。</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2、主要工作职责</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1）贯彻执行国家法律、法规、规章和市、区人民政府的决定、命令、指示，完成市、区人民政府部署的各项任务；　　</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2）负责居民区、街巷的环境卫生和绿化美化的管理工作，组织辖区单位和居民开展爱国卫生运动，落实门前五包责任制；</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3）组织和监督对违法建筑、违法占用道路、无照经营以及违反市容环境卫生、绿化管理规定行为的查处工作；</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4）配合市、区环境保护部门监督环境污染项目的治理；</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5）负责本辖区村的拆迁和安置工作。</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6）协同建设主管部门监督施工单位依法施工，防治施工扬尘、扰民；配合建设单位、施工单位做好居民工作，维护施工秩序；</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7）对居住小区的物业管理进行指导和监督检查；</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8）组织辖区单位和居民开展多种形式的社会主义精神文明创建活动；</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9）制定本辖区社会治安综合治理规划，并组织落实；</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10）负责本辖区外来人口的综合管理和地区交通安全工作；</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11）负责计划生育、统计、红十字会、信访、人民调解工作；协调有关部门做好劳动就业工作；</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12）负责本辖区拥军优属、民兵预备役、征兵、人民防空等工作；</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13）维护老年人、妇女、未成年人和残疾人的合法权益；</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14）制定社区建设、社区服务发展规划，发展社区服务设施，合理配置社区服务资源；</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15）组建社区服务志愿者队伍，动员本辖区单位和居民兴办社区服务事业；</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16）兴办社会福利事业，做好社会救助、社会保险等社会保障工作；</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17）指导社区居委会工作，及时向上级政府反映居民的意见和要求；</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18）对居民进行法制和社会公德教育，组织居民参与社区环境整治等社会公益活动；</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19）组织开展群众文化、体育活动和社区教育、卫生工作，普及科学常识；</w:t>
      </w:r>
    </w:p>
    <w:p>
      <w:pPr>
        <w:adjustRightInd w:val="0"/>
        <w:snapToGrid w:val="0"/>
        <w:spacing w:line="600" w:lineRule="exact"/>
        <w:ind w:firstLine="560" w:firstLineChars="200"/>
        <w:jc w:val="left"/>
        <w:rPr>
          <w:rFonts w:eastAsia="仿宋_GB2312"/>
          <w:sz w:val="32"/>
          <w:szCs w:val="32"/>
        </w:rPr>
      </w:pPr>
      <w:r>
        <w:rPr>
          <w:rFonts w:hint="eastAsia" w:ascii="宋体" w:hAnsi="宋体" w:cs="仿宋_GB2312"/>
          <w:sz w:val="28"/>
          <w:szCs w:val="28"/>
        </w:rPr>
        <w:t>20）承办区政府交办的其他事项。</w:t>
      </w:r>
    </w:p>
    <w:p>
      <w:pPr>
        <w:adjustRightInd w:val="0"/>
        <w:snapToGrid w:val="0"/>
        <w:spacing w:line="600" w:lineRule="exact"/>
        <w:ind w:firstLine="560" w:firstLineChars="200"/>
        <w:jc w:val="left"/>
        <w:rPr>
          <w:rFonts w:ascii="宋体" w:hAnsi="宋体" w:cs="仿宋_GB2312"/>
          <w:bCs/>
          <w:sz w:val="28"/>
          <w:szCs w:val="28"/>
        </w:rPr>
      </w:pPr>
      <w:r>
        <w:rPr>
          <w:rFonts w:hint="eastAsia" w:ascii="宋体" w:hAnsi="宋体" w:cs="仿宋_GB2312"/>
          <w:bCs/>
          <w:sz w:val="28"/>
          <w:szCs w:val="28"/>
        </w:rPr>
        <w:t>（二）部门年度预算收支余情况、部门整体支出使用方向和主要内容、涉及范围等。</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马王堆街道2021年度财政拨款收入预算批复5785万元，在执行预算的过程中实际到位指标8376万元，其中：财政拨款收入7671万元，预算外其他收入705万元。财政实际支出8501万元。其中：基本支出3469万元，项目支出5032万元。上年结余830万元，本年结余0万元。</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我街支出主要分两个方面：一方面为街道的基本支出，主要包括，机关人员工资福利支出；商品服务支出；对个人和家庭的补助。另一方面为街道的项目支出，主要包括：处遗经费、环卫所项目、社区经费、综合运转经费（含城管、综治、禁毒、武装、退役军人、统计、文化、计生、食安、安监等）专项经费等</w:t>
      </w:r>
    </w:p>
    <w:p>
      <w:pPr>
        <w:spacing w:line="560" w:lineRule="exact"/>
        <w:ind w:firstLine="640" w:firstLineChars="200"/>
        <w:rPr>
          <w:rFonts w:eastAsia="黑体"/>
          <w:kern w:val="0"/>
          <w:sz w:val="32"/>
          <w:szCs w:val="32"/>
        </w:rPr>
      </w:pPr>
      <w:r>
        <w:rPr>
          <w:rFonts w:hint="eastAsia" w:eastAsia="黑体"/>
          <w:kern w:val="0"/>
          <w:sz w:val="32"/>
          <w:szCs w:val="32"/>
        </w:rPr>
        <w:t>二、部门整体支出管理及使用情况</w:t>
      </w:r>
    </w:p>
    <w:p>
      <w:pPr>
        <w:adjustRightInd w:val="0"/>
        <w:snapToGrid w:val="0"/>
        <w:spacing w:line="560" w:lineRule="exact"/>
        <w:ind w:firstLine="560" w:firstLineChars="200"/>
        <w:rPr>
          <w:rFonts w:eastAsia="楷体_GB2312"/>
          <w:bCs/>
          <w:sz w:val="28"/>
          <w:szCs w:val="28"/>
        </w:rPr>
      </w:pPr>
      <w:r>
        <w:rPr>
          <w:rFonts w:hint="eastAsia" w:eastAsia="楷体_GB2312"/>
          <w:bCs/>
          <w:sz w:val="28"/>
          <w:szCs w:val="28"/>
        </w:rPr>
        <w:t>（一）基本支出</w:t>
      </w:r>
    </w:p>
    <w:p>
      <w:pPr>
        <w:adjustRightInd w:val="0"/>
        <w:snapToGrid w:val="0"/>
        <w:spacing w:line="560" w:lineRule="exact"/>
        <w:ind w:firstLine="560" w:firstLineChars="200"/>
        <w:rPr>
          <w:rFonts w:eastAsia="仿宋_GB2312"/>
          <w:sz w:val="32"/>
          <w:szCs w:val="32"/>
        </w:rPr>
      </w:pPr>
      <w:r>
        <w:rPr>
          <w:rFonts w:hint="eastAsia" w:ascii="宋体" w:hAnsi="宋体" w:cs="仿宋_GB2312"/>
          <w:sz w:val="28"/>
          <w:szCs w:val="28"/>
        </w:rPr>
        <w:t>1、基本支出主要包括，人员工资福利支出、商品和服务支出、对个人和家庭的补助、办公设备购置等。</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2021年街道的基本支出总额为3469万元，占年度总支出的37.1%，其中工资福利支出2815万元，占基本支出的81.1%，商品和服务支出170.6万元，占基本支出的5%，对个人和家庭的其他补助482万元，占基本支出的13.9%，其他资本性支出1.7万元,占基本支出的0.05%。主要数据如下：</w:t>
      </w:r>
    </w:p>
    <w:p>
      <w:pPr>
        <w:adjustRightInd w:val="0"/>
        <w:snapToGrid w:val="0"/>
        <w:spacing w:line="600" w:lineRule="exact"/>
        <w:ind w:firstLine="2880" w:firstLineChars="1200"/>
        <w:jc w:val="left"/>
        <w:rPr>
          <w:rFonts w:ascii="宋体" w:hAnsi="宋体" w:eastAsia="仿宋" w:cs="仿宋_GB2312"/>
          <w:sz w:val="28"/>
          <w:szCs w:val="28"/>
        </w:rPr>
      </w:pPr>
      <w:r>
        <w:rPr>
          <w:rFonts w:ascii="仿宋" w:hAnsi="仿宋" w:eastAsia="仿宋" w:cs="仿宋"/>
          <w:color w:val="000000"/>
          <w:sz w:val="24"/>
          <w:shd w:val="clear" w:color="auto" w:fill="FFFFFF"/>
        </w:rPr>
        <w:t>基本支出分类汇总表</w:t>
      </w:r>
      <w:r>
        <w:rPr>
          <w:rFonts w:hint="eastAsia" w:ascii="仿宋" w:hAnsi="仿宋" w:eastAsia="仿宋" w:cs="仿宋"/>
          <w:color w:val="000000"/>
          <w:sz w:val="24"/>
          <w:shd w:val="clear" w:color="auto" w:fill="FFFFFF"/>
        </w:rPr>
        <w:t xml:space="preserve">           单位：万元</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经济分类</w:t>
            </w:r>
          </w:p>
        </w:tc>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金额</w:t>
            </w:r>
          </w:p>
        </w:tc>
        <w:tc>
          <w:tcPr>
            <w:tcW w:w="2842"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工资福利支出</w:t>
            </w:r>
          </w:p>
        </w:tc>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2815</w:t>
            </w:r>
          </w:p>
        </w:tc>
        <w:tc>
          <w:tcPr>
            <w:tcW w:w="2842"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商品和服务支出</w:t>
            </w:r>
          </w:p>
        </w:tc>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170.6</w:t>
            </w:r>
          </w:p>
        </w:tc>
        <w:tc>
          <w:tcPr>
            <w:tcW w:w="2842"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对个人和家庭的其他补助</w:t>
            </w:r>
          </w:p>
        </w:tc>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482</w:t>
            </w:r>
          </w:p>
        </w:tc>
        <w:tc>
          <w:tcPr>
            <w:tcW w:w="2842"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其他资本性支出</w:t>
            </w:r>
          </w:p>
        </w:tc>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1.7</w:t>
            </w:r>
          </w:p>
        </w:tc>
        <w:tc>
          <w:tcPr>
            <w:tcW w:w="2842"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基本支出总额</w:t>
            </w:r>
          </w:p>
        </w:tc>
        <w:tc>
          <w:tcPr>
            <w:tcW w:w="2840"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3469</w:t>
            </w:r>
          </w:p>
        </w:tc>
        <w:tc>
          <w:tcPr>
            <w:tcW w:w="2842" w:type="dxa"/>
          </w:tcPr>
          <w:p>
            <w:pPr>
              <w:adjustRightInd w:val="0"/>
              <w:snapToGrid w:val="0"/>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100</w:t>
            </w:r>
          </w:p>
        </w:tc>
      </w:tr>
    </w:tbl>
    <w:p>
      <w:pPr>
        <w:adjustRightInd w:val="0"/>
        <w:snapToGrid w:val="0"/>
        <w:spacing w:line="600" w:lineRule="exact"/>
        <w:ind w:firstLine="560" w:firstLineChars="200"/>
        <w:jc w:val="left"/>
        <w:rPr>
          <w:rFonts w:ascii="宋体" w:hAnsi="宋体" w:cs="仿宋_GB2312"/>
          <w:sz w:val="28"/>
          <w:szCs w:val="28"/>
        </w:rPr>
      </w:pPr>
    </w:p>
    <w:p>
      <w:pPr>
        <w:adjustRightInd w:val="0"/>
        <w:snapToGrid w:val="0"/>
        <w:spacing w:line="560" w:lineRule="exact"/>
        <w:ind w:firstLine="560" w:firstLineChars="200"/>
        <w:rPr>
          <w:rFonts w:eastAsia="楷体_GB2312"/>
          <w:bCs/>
          <w:sz w:val="28"/>
          <w:szCs w:val="28"/>
        </w:rPr>
      </w:pPr>
      <w:r>
        <w:rPr>
          <w:rFonts w:hint="eastAsia" w:eastAsia="楷体_GB2312"/>
          <w:bCs/>
          <w:sz w:val="28"/>
          <w:szCs w:val="28"/>
        </w:rPr>
        <w:t>（二）项目支出</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处遗经费、环卫所项目、社区经费、综合运转经费（含城管、综治、禁毒、武装、退役军人、统计、文化、计生、食安、安监等）专项经费等</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2021年街道的项目支出总额为5871万元，占年度总支出的62.9%。其中工资福利支出1211万元，占项目支出的20.6%，商品和服务支出1626万元，占项目支出的27.7%，对个人和家庭的其他补助200万元,占项目支出的3.4%，其他资本性支出2793万元，占项目支出的47.6%，对企业单位的补贴支出41万元，占项目支出的0.7%。</w:t>
      </w:r>
    </w:p>
    <w:p>
      <w:pPr>
        <w:adjustRightInd w:val="0"/>
        <w:snapToGrid w:val="0"/>
        <w:spacing w:line="600" w:lineRule="exact"/>
        <w:ind w:firstLine="560" w:firstLineChars="200"/>
        <w:jc w:val="left"/>
        <w:rPr>
          <w:rFonts w:eastAsia="仿宋_GB2312"/>
          <w:sz w:val="32"/>
          <w:szCs w:val="32"/>
        </w:rPr>
      </w:pPr>
      <w:r>
        <w:rPr>
          <w:rFonts w:hint="eastAsia" w:ascii="宋体" w:hAnsi="宋体" w:cs="仿宋_GB2312"/>
          <w:sz w:val="28"/>
          <w:szCs w:val="28"/>
        </w:rPr>
        <w:t>马王堆街道办事处根据国家相关法规的规定，结合单位实际，明确了人员分工及工作职责，建立健全机关管理制度，实行制度管人、管事、管权。进一步完善了财务管理制度，制定了《马王堆街道财务管理办法》《内部财务管理控制制度》等规章制度，对资金、物资进行管理和使用；严格按照财经纪律规范和使用财政资金，做到资金的使用均有完整的审批程序，并实行专人管理、转账核算、专款专用原则，使财政收支预算执行取到良好的实施效果。</w:t>
      </w:r>
    </w:p>
    <w:p>
      <w:pPr>
        <w:spacing w:line="560" w:lineRule="exact"/>
        <w:ind w:firstLine="640" w:firstLineChars="200"/>
        <w:rPr>
          <w:rFonts w:eastAsia="黑体"/>
          <w:kern w:val="0"/>
          <w:sz w:val="32"/>
          <w:szCs w:val="32"/>
        </w:rPr>
      </w:pPr>
      <w:r>
        <w:rPr>
          <w:rFonts w:hint="eastAsia" w:eastAsia="黑体"/>
          <w:kern w:val="0"/>
          <w:sz w:val="32"/>
          <w:szCs w:val="32"/>
        </w:rPr>
        <w:t>三、部门项目组织实施情况</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我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adjustRightInd w:val="0"/>
        <w:snapToGrid w:val="0"/>
        <w:spacing w:line="560" w:lineRule="exact"/>
        <w:ind w:firstLine="640" w:firstLineChars="200"/>
        <w:rPr>
          <w:rFonts w:eastAsia="黑体"/>
          <w:sz w:val="32"/>
          <w:szCs w:val="32"/>
        </w:rPr>
      </w:pPr>
      <w:r>
        <w:rPr>
          <w:rFonts w:hint="eastAsia" w:eastAsia="黑体"/>
          <w:sz w:val="32"/>
          <w:szCs w:val="32"/>
        </w:rPr>
        <w:t>四、资产管理情况</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1、制度方面:以区政府固定资产管理文件为依托建立健全的资产管理制度，合理配备并节约高效使用资产、提高资产使用效率，保障资产的安全和完整;</w:t>
      </w:r>
      <w:r>
        <w:rPr>
          <w:rFonts w:hint="eastAsia" w:ascii="宋体" w:hAnsi="宋体" w:cs="仿宋_GB2312"/>
          <w:sz w:val="28"/>
          <w:szCs w:val="28"/>
        </w:rPr>
        <w:br w:type="textWrapping"/>
      </w:r>
      <w:r>
        <w:rPr>
          <w:rFonts w:hint="eastAsia" w:ascii="宋体" w:hAnsi="宋体" w:cs="仿宋_GB2312"/>
          <w:sz w:val="28"/>
          <w:szCs w:val="28"/>
        </w:rPr>
        <w:t>  2、资产管理:由财政所进行账务管理及资产台账管理，由党政办负责，联合各部门和社区按照谁使用、谁负责的原则进行实物管理及使用情况监督;</w:t>
      </w:r>
      <w:r>
        <w:rPr>
          <w:rFonts w:hint="eastAsia" w:ascii="宋体" w:hAnsi="宋体" w:cs="仿宋_GB2312"/>
          <w:sz w:val="28"/>
          <w:szCs w:val="28"/>
        </w:rPr>
        <w:br w:type="textWrapping"/>
      </w:r>
      <w:r>
        <w:rPr>
          <w:rFonts w:hint="eastAsia" w:ascii="宋体" w:hAnsi="宋体" w:cs="仿宋_GB2312"/>
          <w:sz w:val="28"/>
          <w:szCs w:val="28"/>
        </w:rPr>
        <w:t>   3、信息化建设方面:通过“湖南省行政事业资产动态管理信息系统”严格管理资产卡片，及时地记录资产的增加、减少、使用等情况。真实地反映和监督资产的增减变动和实际情况，建立健全资产账簿体系</w:t>
      </w:r>
    </w:p>
    <w:p>
      <w:pPr>
        <w:adjustRightInd w:val="0"/>
        <w:snapToGrid w:val="0"/>
        <w:spacing w:line="560" w:lineRule="exact"/>
        <w:ind w:firstLine="640" w:firstLineChars="200"/>
        <w:rPr>
          <w:rFonts w:eastAsia="黑体"/>
          <w:sz w:val="32"/>
          <w:szCs w:val="32"/>
        </w:rPr>
      </w:pPr>
      <w:r>
        <w:rPr>
          <w:rFonts w:hint="eastAsia" w:eastAsia="黑体"/>
          <w:sz w:val="32"/>
          <w:szCs w:val="32"/>
        </w:rPr>
        <w:t>五、部门整体支出绩效情况</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2021年，我街道根据区年初工作规划和重点性工作，围绕两型社会的构建，全面建成小康社会的发展宏图，积极履职，强化管理，较好的完成了年度工作目标。通过加强预算收支管理，不断建立健全的内部管理体制，部门整体支出管理情况得到了提升。部门整体支出绩效评价情况如下：</w:t>
      </w:r>
    </w:p>
    <w:p>
      <w:pPr>
        <w:adjustRightInd w:val="0"/>
        <w:snapToGrid w:val="0"/>
        <w:spacing w:line="600" w:lineRule="exact"/>
        <w:ind w:firstLine="560" w:firstLineChars="200"/>
        <w:jc w:val="left"/>
        <w:rPr>
          <w:rFonts w:ascii="宋体" w:hAnsi="宋体" w:cs="仿宋_GB2312"/>
          <w:bCs/>
          <w:sz w:val="28"/>
          <w:szCs w:val="28"/>
        </w:rPr>
      </w:pPr>
      <w:r>
        <w:rPr>
          <w:rFonts w:hint="eastAsia" w:ascii="宋体" w:hAnsi="宋体" w:cs="仿宋_GB2312"/>
          <w:bCs/>
          <w:sz w:val="28"/>
          <w:szCs w:val="28"/>
        </w:rPr>
        <w:t>（一）经济性评价</w:t>
      </w:r>
    </w:p>
    <w:p>
      <w:pPr>
        <w:adjustRightInd w:val="0"/>
        <w:snapToGrid w:val="0"/>
        <w:spacing w:line="600" w:lineRule="exact"/>
        <w:ind w:firstLine="560" w:firstLineChars="200"/>
        <w:jc w:val="left"/>
        <w:rPr>
          <w:rFonts w:ascii="宋体" w:hAnsi="宋体" w:cs="仿宋_GB2312"/>
          <w:sz w:val="28"/>
          <w:szCs w:val="28"/>
        </w:rPr>
      </w:pPr>
      <w:r>
        <w:rPr>
          <w:rFonts w:ascii="宋体" w:hAnsi="宋体" w:cs="仿宋_GB2312"/>
          <w:sz w:val="28"/>
          <w:szCs w:val="28"/>
        </w:rPr>
        <w:t>20</w:t>
      </w:r>
      <w:r>
        <w:rPr>
          <w:rFonts w:hint="eastAsia" w:ascii="宋体" w:hAnsi="宋体" w:cs="仿宋_GB2312"/>
          <w:sz w:val="28"/>
          <w:szCs w:val="28"/>
        </w:rPr>
        <w:t>21我街道严格控制预算支出，不断强化管理，严格执行了预决算公开。本年对社区、村的资金拨付均已及时进行支付或完成预算指标文件的下达，不存在截留或滞留专项资金情况；本年我街道充分节约使用经费，基本支出较好的控制在预算额度内，人员经费严格按标准支出，经费尚有结余。项目经费严格按照要求支付，做到专款专用。</w:t>
      </w:r>
    </w:p>
    <w:p>
      <w:pPr>
        <w:adjustRightInd w:val="0"/>
        <w:snapToGrid w:val="0"/>
        <w:spacing w:line="600" w:lineRule="exact"/>
        <w:ind w:firstLine="560" w:firstLineChars="200"/>
        <w:jc w:val="left"/>
        <w:rPr>
          <w:rFonts w:ascii="宋体" w:hAnsi="宋体" w:cs="仿宋_GB2312"/>
          <w:bCs/>
          <w:sz w:val="28"/>
          <w:szCs w:val="28"/>
        </w:rPr>
      </w:pPr>
      <w:r>
        <w:rPr>
          <w:rFonts w:hint="eastAsia" w:ascii="宋体" w:hAnsi="宋体" w:cs="仿宋_GB2312"/>
          <w:bCs/>
          <w:sz w:val="28"/>
          <w:szCs w:val="28"/>
        </w:rPr>
        <w:t>（二）行政效能评价</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为强化部门整体支出，加强国有资产管理，提高资金使用效益，提升财务管理，建立节约型机关，</w:t>
      </w:r>
      <w:r>
        <w:rPr>
          <w:rFonts w:ascii="宋体" w:hAnsi="宋体" w:cs="仿宋_GB2312"/>
          <w:sz w:val="28"/>
          <w:szCs w:val="28"/>
        </w:rPr>
        <w:t>20</w:t>
      </w:r>
      <w:r>
        <w:rPr>
          <w:rFonts w:hint="eastAsia" w:ascii="宋体" w:hAnsi="宋体" w:cs="仿宋_GB2312"/>
          <w:sz w:val="28"/>
          <w:szCs w:val="28"/>
        </w:rPr>
        <w:t>21年我街道在强化业务管理、财务管理和厉行节约方面开展了大量工作，行政效能显著。</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1、严格执行国库集中支付、公务卡结算制度、政府采购等有关规定，政府采购目录内的货物与服务全部按要求实施了政府采购，确保了支出管理流程、审批手续的完整。</w:t>
      </w:r>
    </w:p>
    <w:p>
      <w:pPr>
        <w:adjustRightInd w:val="0"/>
        <w:snapToGrid w:val="0"/>
        <w:spacing w:line="600" w:lineRule="exact"/>
        <w:ind w:firstLine="560" w:firstLineChars="200"/>
        <w:jc w:val="left"/>
        <w:rPr>
          <w:rFonts w:ascii="宋体" w:hAnsi="宋体" w:cs="仿宋_GB2312"/>
          <w:b/>
          <w:sz w:val="28"/>
          <w:szCs w:val="28"/>
        </w:rPr>
      </w:pPr>
      <w:r>
        <w:rPr>
          <w:rFonts w:hint="eastAsia" w:ascii="宋体" w:hAnsi="宋体" w:cs="仿宋_GB2312"/>
          <w:sz w:val="28"/>
          <w:szCs w:val="28"/>
        </w:rPr>
        <w:t>2、强化资金使用的监督管理及预算管理。</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一、是规范安全生产培训、宣传、专家咨询活动，严格办公用房管理等，控制办公经费开支；二、是严格财务管理，严格财务的审核把关，对各科室实行经费支出限额管理，严控经费支出，落实项目资金专款专用。</w:t>
      </w:r>
    </w:p>
    <w:p>
      <w:pPr>
        <w:adjustRightInd w:val="0"/>
        <w:snapToGrid w:val="0"/>
        <w:spacing w:line="600" w:lineRule="exact"/>
        <w:ind w:firstLine="560" w:firstLineChars="200"/>
        <w:jc w:val="left"/>
        <w:rPr>
          <w:rFonts w:ascii="宋体" w:hAnsi="宋体" w:cs="仿宋_GB2312"/>
          <w:bCs/>
          <w:sz w:val="28"/>
          <w:szCs w:val="28"/>
        </w:rPr>
      </w:pPr>
      <w:r>
        <w:rPr>
          <w:rFonts w:hint="eastAsia" w:ascii="宋体" w:hAnsi="宋体" w:cs="仿宋_GB2312"/>
          <w:bCs/>
          <w:sz w:val="28"/>
          <w:szCs w:val="28"/>
        </w:rPr>
        <w:t>（三）项目产出及社会效益评价</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一）强化政治引领，不断夯实党建基础。充分发挥街道党工委的政治引领作用，持续推进城市基层党建六项重点工作。一是深入开展党史学习教育。开展“万名党员进党校”等活动70余次，推动党的先进理论走深走实、入脑入心。二是抓好社区党支部“五化”建设。圆满完成街属5个社区的两委换届选举工作；加强小区党支部建设，新建小区党支部4个；充分发挥律政大楼、滩头坪社区党群服务中心等楼宇党建品牌作用，组建非公支部2个。三是维护意识形态领域安全稳定。强化风险隐患排查及网络舆情监管力度，妥善处置网络舆情51起；充分发挥晚报大厦新时代文明实践所阵地作用，开展文明实践活动200余场，推评好人及道德模范各1人；强化正面发声，市级以上媒体上稿800余篇，积极传播正能量。四是持续深化全面从严治党。持续推进党风廉政和作风建设，处置信访案件9起，处置问题线索8件；严格落实党管武装工作，基层武装部阵地全面建设已达到“五星级”标准。</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二）优化营商环境，全力推动经济发展。一是持续提升政务服务水平。深入推进“一件事一次办”，让办事企业和群众满意而归；通过积极走访楼宇企业、召开非公党支部书记座谈会等方式了解企业诉求，切实为企业解决问题，助力企业发展。二是全力推进楼宇招商工作。努力做好长城万悦汇、保利中环广场和园康项目的招商工作，成功引进湖南佳厚建设工程有限公司、湖南玖平建设工程有限公司两家企业入驻长城万悦汇，有效提高了街道的可持续税源。全年各项经济指标增长平稳（数据预估至12月31日）：完成区级税收13500万元，累计可完成固定资产投资额为400000万元，完成建筑业总产值200000万元，零售额增速35%以上，批发额增速25%以上，上报新增四上单位18家，完成“个转企”19家，完成招商引资全口径税收50万元以上单位2家，规模以上服务业营业收入增速15%以上，软件信息产业营业收入增速5%以上。</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三）科学统筹力量，稳步推进项目建设。一是60号令生产安置用地项目。火炬村1、2片生产安置用地正在招商引资，已提交初步合作意向书；九道湾12、14、15、16居民小组生产安置用地正在办理两安用地调规调容手续；九道湾19、20、21、22居民小组生产安置用地项目已竣工验收；九道湾18组生产安置用地正进行1、2栋主体建设；九道湾17组生产安置用地“星城美域”项目已确定最终债权人，力争尽快协调解决债务纠纷问题并启动项目建设。二是103号令安置房项目。三期地块四、五标段1、2栋主体竣工，3-5栋正在进行主体建设。三是社会类投资项目。富力圆康新天地和保利中环广场两个社会项目正在进行房屋主体结构建设，已开始预售。</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四）树立民生导向，持续增进民生福祉。一是巩固疫情防控成果。加强社区网格化排查，全街累计接种新冠疫苗122099人次，完成核酸检测3422人次，严格落实“外防输入、内防反弹”措施。二是扎实开展“为民办实事”。聚焦“六位”，开展“为民办实事”项目100余个。指导长沙晚报小区成立小区党支部，协助小区业委会完成老旧小区电梯加装改造工作，成功承办省老旧小区电梯加装现场观摩会；成立九道湾南三片片区大物管，安装智能匝道7个，缓解南三片停车难等问题，以实际行动践行初心使命。三是落实民生保障举措。加强对辖区残疾、特困、高龄老人等人群的走访帮扶力度，累计发放救助和帮扶资金90余万元，惠及居民群众近400户、500余人次。居家养老、社保、就业等各项民生工作齐头并进，食品安全工作走在全区前列。四是助推社区“一社一品”建设。深入挖掘社区品牌特色，丰富“邻有爱”家庭互助社会工作服务项目、“5180”法务工作站、“何立伟工作室”等社区品牌内涵，持续提升为民服务水平，切实提高人民群众的幸福感和获得感。五是积极回应民生诉求。截至11月30日，共接收12345政务热线工单1076件，办结率96.47%，满意率97.27%；努力打造城市治理新机制，与长沙晚报合作探索的网格化管理平台“掌上网格”现已在滩头坪社区试点运行，开放了办事预约、投诉建议、门店管理等功能，累计收到居民预约670余人次，处理居民投诉建议50余条，努力提升为民服务质量，积极打造为民服务的新格局。</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（五）聚焦“四精五有”，着力提升城市品质。一是加强城市常态化管理。加大日常管控和执法力度，认真抓好环保</w:t>
      </w:r>
      <w:r>
        <w:rPr>
          <w:rFonts w:hint="eastAsia" w:ascii="宋体" w:hAnsi="宋体" w:cs="仿宋_GB2312"/>
          <w:sz w:val="28"/>
          <w:szCs w:val="28"/>
          <w:lang w:eastAsia="zh-CN"/>
        </w:rPr>
        <w:t>督察</w:t>
      </w:r>
      <w:bookmarkStart w:id="0" w:name="_GoBack"/>
      <w:bookmarkEnd w:id="0"/>
      <w:r>
        <w:rPr>
          <w:rFonts w:hint="eastAsia" w:ascii="宋体" w:hAnsi="宋体" w:cs="仿宋_GB2312"/>
          <w:sz w:val="28"/>
          <w:szCs w:val="28"/>
        </w:rPr>
        <w:t>、蓝天保卫战、垃圾分类、市容环境秩序整治、浏阳河管护段常态化保洁等各类工作，开展各类宣传活动130余次，组织各类专项整治行动150余次，配合做好中央环保</w:t>
      </w:r>
      <w:r>
        <w:rPr>
          <w:rFonts w:hint="eastAsia" w:ascii="宋体" w:hAnsi="宋体" w:cs="仿宋_GB2312"/>
          <w:sz w:val="28"/>
          <w:szCs w:val="28"/>
          <w:lang w:eastAsia="zh-CN"/>
        </w:rPr>
        <w:t>督察</w:t>
      </w:r>
      <w:r>
        <w:rPr>
          <w:rFonts w:hint="eastAsia" w:ascii="宋体" w:hAnsi="宋体" w:cs="仿宋_GB2312"/>
          <w:sz w:val="28"/>
          <w:szCs w:val="28"/>
        </w:rPr>
        <w:t>工作，3个投诉案件均已整改到位，结案率100%。二是推动改造项目落地生效。晚报宿舍改造项目、新桥小区老旧小区改造项目、同鑫家园小区地下停车场项目、农安小区消防通道划线项目已顺利完成；蔬菜公司宿舍1号栋、信用宿舍、鸿基花园、长沙市公安局宿舍城镇老旧小区改造项目正进行前期摸底工作；糕点厂宿舍危房加固项目已选取施工单位，预计12月进场施工；火炬小学宿舍危房已成功拆除，切实改善人居环境质量，提升城市功能品质。</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六）凝聚全街合力，持续稳固社会大局。一是扎实推进火炬拆迁安置项目扫尾。火炬强拆群体现已签约34栋60户，其中，2021年签约20栋34户。二是圆满完成火炬二期回迁分房工作。共回迁安置指标1310.5个、安置房1285套，分房期间没有发生不稳定事件。三是扎实推进信访积案化解。不断畅通信访渠道，加大矛盾纠纷的排查力度，“四门四访”60余人次；调解矛盾纠纷73起，上报办结重复治理信访积案51件，化解疑难复杂突出信访件9件，签订息访息诉协议9人。四是深化平安街道建设。深入开展扫黑除恶、打非禁毒专项斗争，组织开展联合行动8次；推进防范电信网络诈骗宣传工作，开展知识讲座等各类宣传活动78场，国家反电诈APP推广下载57020人；强力推进安全生产专项整治三年行动，全力防控安全风险，开展整治行动11次，查处并整改安全隐患150余处，确保辖区安全生产形势持续稳定；优化双拥工作机制，积极开展军民共建活动，促进退役军人军地和谐稳定。</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2021年，街道荣获长沙市无偿献血先进单位、二季度全区绩效考核一类街道。滩头坪社区荣获“湖南省示范性青年之家”、“芙蓉区关心下一代工作优秀集体”；古汉城社区荣获“2018-2021年度长沙市全国月度劳动力调查先进社区”、“长沙市国有企业退休人员社会化管理工作优秀社区”。</w:t>
      </w:r>
      <w:r>
        <w:rPr>
          <w:rFonts w:ascii="宋体" w:hAnsi="宋体" w:cs="仿宋_GB2312"/>
          <w:sz w:val="28"/>
          <w:szCs w:val="28"/>
        </w:rPr>
        <w:t xml:space="preserve"> </w:t>
      </w:r>
    </w:p>
    <w:p>
      <w:pPr>
        <w:adjustRightInd w:val="0"/>
        <w:snapToGrid w:val="0"/>
        <w:spacing w:line="560" w:lineRule="exact"/>
        <w:ind w:firstLine="640" w:firstLineChars="200"/>
        <w:rPr>
          <w:rFonts w:eastAsia="黑体"/>
          <w:sz w:val="32"/>
          <w:szCs w:val="32"/>
        </w:rPr>
      </w:pPr>
      <w:r>
        <w:rPr>
          <w:rFonts w:hint="eastAsia" w:eastAsia="黑体"/>
          <w:sz w:val="32"/>
          <w:szCs w:val="32"/>
        </w:rPr>
        <w:t>六、存在的主要问题</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1、绩效评价工作机制有待进一步完善，由于在平时工作中未加强对绩效监控工作的重视，绩效监控工作容易滞后，未形成对绩效目标进行监控的习惯。</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2、预算编制工作有待细化。预算编制不够明确和细化，预算编制的合理性需要提高。预算执行力度还要进一步加强。</w:t>
      </w:r>
    </w:p>
    <w:p>
      <w:pPr>
        <w:adjustRightInd w:val="0"/>
        <w:snapToGrid w:val="0"/>
        <w:spacing w:line="560" w:lineRule="exact"/>
        <w:ind w:firstLine="640" w:firstLineChars="200"/>
        <w:rPr>
          <w:rFonts w:eastAsia="黑体"/>
          <w:sz w:val="32"/>
          <w:szCs w:val="32"/>
        </w:rPr>
      </w:pPr>
      <w:r>
        <w:rPr>
          <w:rFonts w:hint="eastAsia" w:eastAsia="黑体"/>
          <w:sz w:val="32"/>
          <w:szCs w:val="32"/>
        </w:rPr>
        <w:t>七、改进措施和有关建议</w:t>
      </w:r>
    </w:p>
    <w:p>
      <w:pPr>
        <w:adjustRightInd w:val="0"/>
        <w:snapToGrid w:val="0"/>
        <w:spacing w:line="600" w:lineRule="exact"/>
        <w:ind w:firstLine="560" w:firstLineChars="200"/>
        <w:jc w:val="left"/>
        <w:rPr>
          <w:rFonts w:ascii="宋体" w:hAnsi="宋体" w:cs="仿宋_GB2312"/>
          <w:sz w:val="28"/>
          <w:szCs w:val="28"/>
        </w:rPr>
      </w:pPr>
      <w:r>
        <w:rPr>
          <w:rFonts w:hint="eastAsia" w:ascii="宋体" w:hAnsi="宋体" w:cs="仿宋_GB2312"/>
          <w:sz w:val="28"/>
          <w:szCs w:val="28"/>
        </w:rPr>
        <w:t>1、制定合理的年度工作计划和年度经费支出预算，确保全年经费支出均衡。</w:t>
      </w:r>
    </w:p>
    <w:p>
      <w:pPr>
        <w:ind w:firstLine="560" w:firstLineChars="200"/>
        <w:jc w:val="left"/>
        <w:rPr>
          <w:rFonts w:ascii="宋体" w:hAnsi="宋体" w:cs="仿宋_GB2312"/>
          <w:sz w:val="28"/>
          <w:szCs w:val="28"/>
        </w:rPr>
      </w:pPr>
      <w:r>
        <w:rPr>
          <w:rFonts w:hint="eastAsia" w:ascii="宋体" w:hAnsi="宋体" w:cs="仿宋_GB2312"/>
          <w:sz w:val="28"/>
          <w:szCs w:val="28"/>
        </w:rPr>
        <w:t>2、建立和完善内部控制建设，形成系统的内部财务管理制度。加强对专项资金的管理，按工作要求加快专项资金下达及使用进度，切实发挥资金效益。</w:t>
      </w:r>
    </w:p>
    <w:p>
      <w:pPr>
        <w:adjustRightInd w:val="0"/>
        <w:snapToGrid w:val="0"/>
        <w:spacing w:line="600" w:lineRule="exact"/>
        <w:ind w:firstLine="560" w:firstLineChars="200"/>
        <w:jc w:val="left"/>
        <w:rPr>
          <w:rFonts w:ascii="宋体" w:hAnsi="宋体"/>
          <w:sz w:val="28"/>
          <w:szCs w:val="28"/>
        </w:rPr>
      </w:pPr>
      <w:r>
        <w:rPr>
          <w:rFonts w:hint="eastAsia" w:ascii="宋体" w:hAnsi="宋体"/>
          <w:sz w:val="28"/>
          <w:szCs w:val="28"/>
        </w:rPr>
        <w:t>3、在以后的日常预算管理过程中，进一步加强对资金的管控能力，加强预算资金的审核及预算执行情况的分析等。</w:t>
      </w:r>
    </w:p>
    <w:p>
      <w:pPr>
        <w:adjustRightInd w:val="0"/>
        <w:snapToGrid w:val="0"/>
        <w:spacing w:line="600" w:lineRule="exact"/>
        <w:ind w:firstLine="560" w:firstLineChars="200"/>
        <w:jc w:val="left"/>
        <w:rPr>
          <w:rFonts w:ascii="宋体" w:hAnsi="宋体"/>
          <w:sz w:val="28"/>
          <w:szCs w:val="28"/>
        </w:rPr>
      </w:pPr>
    </w:p>
    <w:p>
      <w:pPr>
        <w:adjustRightInd w:val="0"/>
        <w:snapToGrid w:val="0"/>
        <w:spacing w:line="600" w:lineRule="exact"/>
        <w:ind w:firstLine="560" w:firstLineChars="200"/>
        <w:jc w:val="left"/>
        <w:rPr>
          <w:rFonts w:ascii="宋体" w:hAnsi="宋体"/>
          <w:sz w:val="28"/>
          <w:szCs w:val="28"/>
        </w:rPr>
      </w:pPr>
    </w:p>
    <w:p>
      <w:pPr>
        <w:wordWrap w:val="0"/>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填报单位：马王堆街道办事处</w:t>
      </w:r>
    </w:p>
    <w:p>
      <w:pPr>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2022-3-25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3F529"/>
    <w:multiLevelType w:val="singleLevel"/>
    <w:tmpl w:val="7B33F5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A7319"/>
    <w:rsid w:val="002464F6"/>
    <w:rsid w:val="00346A4D"/>
    <w:rsid w:val="003919C9"/>
    <w:rsid w:val="004A6630"/>
    <w:rsid w:val="0061763C"/>
    <w:rsid w:val="0071419B"/>
    <w:rsid w:val="00971B54"/>
    <w:rsid w:val="028669EC"/>
    <w:rsid w:val="03114652"/>
    <w:rsid w:val="115C0153"/>
    <w:rsid w:val="117A7319"/>
    <w:rsid w:val="11C6799D"/>
    <w:rsid w:val="193E1883"/>
    <w:rsid w:val="1AAD07E1"/>
    <w:rsid w:val="27927709"/>
    <w:rsid w:val="2A4F1176"/>
    <w:rsid w:val="2BC76ED5"/>
    <w:rsid w:val="2D837C31"/>
    <w:rsid w:val="3C8D1049"/>
    <w:rsid w:val="451F3BB2"/>
    <w:rsid w:val="45A8125A"/>
    <w:rsid w:val="49DB68BC"/>
    <w:rsid w:val="4CA405BE"/>
    <w:rsid w:val="50F80A08"/>
    <w:rsid w:val="56D00F69"/>
    <w:rsid w:val="58337A15"/>
    <w:rsid w:val="58706CF0"/>
    <w:rsid w:val="5BCD3065"/>
    <w:rsid w:val="6C26329E"/>
    <w:rsid w:val="741A28AB"/>
    <w:rsid w:val="75E559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1"/>
    <w:qFormat/>
    <w:uiPriority w:val="0"/>
    <w:pPr>
      <w:spacing w:after="0" w:line="500" w:lineRule="exact"/>
      <w:ind w:left="0" w:leftChars="0" w:firstLine="420" w:firstLineChars="200"/>
    </w:pPr>
    <w:rPr>
      <w:rFonts w:ascii="仿宋_GB2312" w:hAnsi="Times New Roman" w:eastAsia="仿宋_GB2312"/>
      <w:sz w:val="32"/>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0"/>
    <w:rPr>
      <w:kern w:val="2"/>
      <w:sz w:val="18"/>
      <w:szCs w:val="18"/>
    </w:rPr>
  </w:style>
  <w:style w:type="character" w:customStyle="1" w:styleId="10">
    <w:name w:val="正文文本缩进 Char"/>
    <w:basedOn w:val="8"/>
    <w:link w:val="2"/>
    <w:qFormat/>
    <w:uiPriority w:val="0"/>
    <w:rPr>
      <w:kern w:val="2"/>
      <w:sz w:val="21"/>
      <w:szCs w:val="24"/>
    </w:rPr>
  </w:style>
  <w:style w:type="character" w:customStyle="1" w:styleId="11">
    <w:name w:val="正文首行缩进 2 Char"/>
    <w:basedOn w:val="10"/>
    <w:link w:val="5"/>
    <w:uiPriority w:val="0"/>
    <w:rPr>
      <w:rFonts w:ascii="仿宋_GB2312" w:hAnsi="Times New Roman"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EED07-8A73-4A82-ACA0-62CC05453F7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6095</Words>
  <Characters>6418</Characters>
  <Lines>46</Lines>
  <Paragraphs>13</Paragraphs>
  <TotalTime>1</TotalTime>
  <ScaleCrop>false</ScaleCrop>
  <LinksUpToDate>false</LinksUpToDate>
  <CharactersWithSpaces>6492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2022-09-26T07:00:00Z</dcterms:created>
  <dc:creator>Administrator</dc:creator>
  <cp:lastModifiedBy>Administrator</cp:lastModifiedBy>
  <dcterms:modified xsi:type="dcterms:W3CDTF">2022-11-17T05:28:15Z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25DB7450DE594582A9FEAF23F358083D</vt:lpwstr>
  </property>
</Properties>
</file>