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76"/>
        <w:rPr>
          <w:rFonts w:ascii="楷体_GB2312" w:eastAsia="楷体_GB2312"/>
          <w:color w:val="000000" w:themeColor="text1"/>
          <w:spacing w:val="36"/>
          <w:w w:val="80"/>
          <w:sz w:val="8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bCs/>
          <w:sz w:val="32"/>
          <w:szCs w:val="32"/>
        </w:rPr>
        <w:t>领导批示：</w:t>
      </w:r>
    </w:p>
    <w:p>
      <w:pPr>
        <w:ind w:right="176"/>
        <w:jc w:val="center"/>
        <w:rPr>
          <w:rFonts w:eastAsia="方正小标宋简体"/>
          <w:color w:val="FF0000"/>
          <w:spacing w:val="36"/>
          <w:w w:val="80"/>
          <w:sz w:val="82"/>
          <w:szCs w:val="52"/>
        </w:rPr>
      </w:pPr>
    </w:p>
    <w:p>
      <w:pPr>
        <w:ind w:right="176"/>
        <w:jc w:val="center"/>
        <w:rPr>
          <w:rFonts w:eastAsia="方正小标宋简体"/>
          <w:color w:val="FF0000"/>
          <w:spacing w:val="36"/>
          <w:w w:val="80"/>
          <w:sz w:val="82"/>
          <w:szCs w:val="52"/>
        </w:rPr>
      </w:pPr>
    </w:p>
    <w:p>
      <w:pPr>
        <w:ind w:right="176"/>
        <w:jc w:val="center"/>
        <w:rPr>
          <w:rFonts w:eastAsia="方正小标宋简体"/>
          <w:color w:val="FF0000"/>
          <w:spacing w:val="36"/>
          <w:w w:val="80"/>
          <w:sz w:val="82"/>
          <w:szCs w:val="52"/>
        </w:rPr>
      </w:pPr>
    </w:p>
    <w:p>
      <w:pPr>
        <w:ind w:right="176"/>
        <w:jc w:val="center"/>
        <w:rPr>
          <w:rFonts w:eastAsia="方正小标宋简体"/>
          <w:color w:val="FF0000"/>
          <w:spacing w:val="36"/>
          <w:w w:val="80"/>
          <w:sz w:val="82"/>
          <w:szCs w:val="52"/>
        </w:rPr>
      </w:pPr>
    </w:p>
    <w:p>
      <w:pPr>
        <w:ind w:right="176"/>
        <w:rPr>
          <w:rFonts w:eastAsia="方正小标宋简体"/>
          <w:spacing w:val="36"/>
          <w:w w:val="80"/>
          <w:sz w:val="82"/>
          <w:szCs w:val="52"/>
        </w:rPr>
      </w:pPr>
      <w:r>
        <w:rPr>
          <w:rFonts w:hint="eastAsia" w:eastAsia="方正小标宋简体"/>
          <w:color w:val="FF0000"/>
          <w:spacing w:val="36"/>
          <w:w w:val="80"/>
          <w:sz w:val="82"/>
          <w:szCs w:val="52"/>
        </w:rPr>
        <w:t>芙蓉区1</w:t>
      </w:r>
      <w:r>
        <w:rPr>
          <w:rFonts w:eastAsia="方正小标宋简体"/>
          <w:color w:val="FF0000"/>
          <w:spacing w:val="36"/>
          <w:w w:val="80"/>
          <w:sz w:val="82"/>
          <w:szCs w:val="52"/>
        </w:rPr>
        <w:t>2345</w:t>
      </w:r>
      <w:r>
        <w:rPr>
          <w:rFonts w:hint="eastAsia" w:eastAsia="方正小标宋简体"/>
          <w:color w:val="FF0000"/>
          <w:spacing w:val="36"/>
          <w:w w:val="80"/>
          <w:sz w:val="82"/>
          <w:szCs w:val="52"/>
        </w:rPr>
        <w:t>政务热线情况</w:t>
      </w:r>
    </w:p>
    <w:p>
      <w:pPr>
        <w:tabs>
          <w:tab w:val="left" w:pos="2241"/>
        </w:tabs>
        <w:ind w:right="197"/>
        <w:jc w:val="distribute"/>
        <w:rPr>
          <w:rFonts w:eastAsia="方正小标宋简体"/>
          <w:sz w:val="82"/>
          <w:szCs w:val="52"/>
        </w:rPr>
      </w:pPr>
      <w:r>
        <w:rPr>
          <w:rFonts w:hint="eastAsia" w:eastAsia="方正小标宋简体"/>
          <w:color w:val="FF0000"/>
          <w:sz w:val="82"/>
          <w:szCs w:val="52"/>
        </w:rPr>
        <w:t>通</w:t>
      </w:r>
      <w:r>
        <w:rPr>
          <w:rFonts w:hint="eastAsia" w:eastAsia="方正小标宋简体"/>
          <w:color w:val="FF0000"/>
          <w:sz w:val="82"/>
          <w:szCs w:val="52"/>
        </w:rPr>
        <w:tab/>
      </w:r>
      <w:r>
        <w:rPr>
          <w:rFonts w:hint="eastAsia" w:eastAsia="方正小标宋简体"/>
          <w:color w:val="FF0000"/>
          <w:sz w:val="82"/>
          <w:szCs w:val="52"/>
        </w:rPr>
        <w:t>报</w:t>
      </w:r>
    </w:p>
    <w:p>
      <w:pPr>
        <w:pStyle w:val="2"/>
        <w:spacing w:before="301"/>
        <w:ind w:right="200"/>
        <w:jc w:val="center"/>
        <w:rPr>
          <w:rFonts w:ascii="Times New Roman" w:hAnsi="Times New Roman" w:eastAsia="黑体"/>
          <w:lang w:eastAsia="zh-CN"/>
        </w:rPr>
      </w:pPr>
      <w:r>
        <w:rPr>
          <w:rFonts w:hint="eastAsia" w:ascii="Times New Roman" w:hAnsi="Times New Roman" w:eastAsia="黑体"/>
          <w:lang w:eastAsia="zh-CN"/>
        </w:rPr>
        <w:t>〔</w:t>
      </w:r>
      <w:r>
        <w:rPr>
          <w:rFonts w:ascii="Times New Roman" w:hAnsi="Times New Roman" w:eastAsia="Times New Roman"/>
          <w:lang w:eastAsia="zh-CN"/>
        </w:rPr>
        <w:t>202</w:t>
      </w:r>
      <w:r>
        <w:rPr>
          <w:rFonts w:hint="eastAsia" w:ascii="Times New Roman" w:hAnsi="Times New Roman" w:eastAsia="Times New Roman"/>
          <w:lang w:eastAsia="zh-CN"/>
        </w:rPr>
        <w:t>1</w:t>
      </w:r>
      <w:r>
        <w:rPr>
          <w:rFonts w:hint="eastAsia" w:ascii="Times New Roman" w:hAnsi="Times New Roman" w:eastAsia="黑体"/>
          <w:lang w:eastAsia="zh-CN"/>
        </w:rPr>
        <w:t xml:space="preserve">〕第 </w:t>
      </w:r>
      <w:r>
        <w:rPr>
          <w:rFonts w:hint="eastAsia" w:ascii="Times New Roman" w:hAnsi="Times New Roman" w:eastAsia="Times New Roman"/>
          <w:lang w:val="en-US" w:eastAsia="zh-CN"/>
        </w:rPr>
        <w:t>11</w:t>
      </w:r>
      <w:r>
        <w:rPr>
          <w:rFonts w:hint="eastAsia" w:ascii="Times New Roman" w:hAnsi="Times New Roman" w:eastAsiaTheme="minorEastAsia"/>
          <w:lang w:eastAsia="zh-CN"/>
        </w:rPr>
        <w:t xml:space="preserve"> </w:t>
      </w:r>
      <w:r>
        <w:rPr>
          <w:rFonts w:hint="eastAsia" w:ascii="Times New Roman" w:hAnsi="Times New Roman" w:eastAsia="黑体"/>
          <w:lang w:eastAsia="zh-CN"/>
        </w:rPr>
        <w:t>期</w:t>
      </w:r>
    </w:p>
    <w:p>
      <w:pPr>
        <w:tabs>
          <w:tab w:val="left" w:pos="870"/>
          <w:tab w:val="left" w:pos="1482"/>
          <w:tab w:val="left" w:pos="2091"/>
          <w:tab w:val="left" w:pos="2703"/>
          <w:tab w:val="left" w:pos="3313"/>
          <w:tab w:val="left" w:pos="3925"/>
          <w:tab w:val="left" w:pos="4535"/>
          <w:tab w:val="left" w:pos="5147"/>
          <w:tab w:val="left" w:pos="5756"/>
        </w:tabs>
        <w:spacing w:before="62" w:line="292" w:lineRule="auto"/>
        <w:ind w:right="38"/>
        <w:rPr>
          <w:rFonts w:eastAsia="楷体_GB2312"/>
          <w:sz w:val="28"/>
        </w:rPr>
      </w:pPr>
      <w:r>
        <w:rPr>
          <w:rFonts w:hint="eastAsia" w:eastAsia="楷体_GB2312"/>
          <w:sz w:val="28"/>
        </w:rPr>
        <w:t xml:space="preserve">芙蓉区行政审批服务局                    </w:t>
      </w:r>
      <w:r>
        <w:rPr>
          <w:rFonts w:eastAsia="楷体_GB2312"/>
          <w:sz w:val="28"/>
        </w:rPr>
        <w:t xml:space="preserve">      </w:t>
      </w:r>
      <w:r>
        <w:rPr>
          <w:rFonts w:hint="eastAsia" w:eastAsia="楷体_GB2312"/>
          <w:sz w:val="28"/>
        </w:rPr>
        <w:t>2021年</w:t>
      </w:r>
      <w:r>
        <w:rPr>
          <w:rFonts w:hint="eastAsia" w:eastAsia="楷体_GB2312"/>
          <w:sz w:val="28"/>
          <w:lang w:val="en-US" w:eastAsia="zh-CN"/>
        </w:rPr>
        <w:t>11</w:t>
      </w:r>
      <w:r>
        <w:rPr>
          <w:rFonts w:hint="eastAsia" w:eastAsia="楷体_GB2312"/>
          <w:sz w:val="28"/>
        </w:rPr>
        <w:t>月</w:t>
      </w:r>
      <w:r>
        <w:rPr>
          <w:rFonts w:hint="eastAsia" w:eastAsia="楷体_GB2312"/>
          <w:sz w:val="28"/>
          <w:lang w:val="en-US" w:eastAsia="zh-CN"/>
        </w:rPr>
        <w:t>12</w:t>
      </w:r>
      <w:r>
        <w:rPr>
          <w:rFonts w:hint="eastAsia" w:eastAsia="楷体_GB2312"/>
          <w:sz w:val="28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870"/>
          <w:tab w:val="left" w:pos="1482"/>
          <w:tab w:val="left" w:pos="2091"/>
          <w:tab w:val="left" w:pos="2703"/>
          <w:tab w:val="left" w:pos="3313"/>
          <w:tab w:val="left" w:pos="3925"/>
          <w:tab w:val="left" w:pos="4535"/>
          <w:tab w:val="left" w:pos="5147"/>
          <w:tab w:val="left" w:pos="57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970280</wp:posOffset>
                </wp:positionH>
                <wp:positionV relativeFrom="paragraph">
                  <wp:posOffset>36830</wp:posOffset>
                </wp:positionV>
                <wp:extent cx="5615940" cy="0"/>
                <wp:effectExtent l="0" t="13970" r="3810" b="2413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6.4pt;margin-top:2.9pt;height:0pt;width:442.2pt;mso-position-horizontal-relative:page;z-index:251659264;mso-width-relative:page;mso-height-relative:page;" filled="f" stroked="t" coordsize="21600,21600" o:gfxdata="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P94qdYA&#10;AAAIAQAADwAAAAAAAAABACAAAAAiAAAAZHJzL2Rvd25yZXYueG1sUEsBAhQAFAAAAAgAh07iQKFZ&#10;vj/oAQAA3gMAAA4AAAAAAAAAAQAgAAAAJQEAAGRycy9lMm9Eb2MueG1sUEsFBgAAAAAGAAYAWQEA&#10;AH8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tabs>
          <w:tab w:val="left" w:pos="870"/>
          <w:tab w:val="left" w:pos="1482"/>
          <w:tab w:val="left" w:pos="2091"/>
          <w:tab w:val="left" w:pos="2703"/>
          <w:tab w:val="left" w:pos="3313"/>
          <w:tab w:val="left" w:pos="3925"/>
          <w:tab w:val="left" w:pos="4535"/>
          <w:tab w:val="left" w:pos="5147"/>
          <w:tab w:val="left" w:pos="5756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芙蓉区1</w:t>
      </w:r>
      <w:r>
        <w:rPr>
          <w:rFonts w:eastAsia="方正小标宋简体"/>
          <w:sz w:val="44"/>
          <w:szCs w:val="44"/>
        </w:rPr>
        <w:t>2345</w:t>
      </w:r>
      <w:r>
        <w:rPr>
          <w:rFonts w:hint="eastAsia" w:eastAsia="方正小标宋简体"/>
          <w:sz w:val="44"/>
          <w:szCs w:val="44"/>
        </w:rPr>
        <w:t>政务热线</w:t>
      </w:r>
      <w:r>
        <w:rPr>
          <w:rFonts w:hint="eastAsia" w:eastAsia="方正小标宋简体"/>
          <w:sz w:val="44"/>
          <w:szCs w:val="44"/>
          <w:lang w:eastAsia="zh-CN"/>
        </w:rPr>
        <w:t>十</w:t>
      </w:r>
      <w:r>
        <w:rPr>
          <w:rFonts w:hint="eastAsia" w:eastAsia="方正小标宋简体"/>
          <w:sz w:val="44"/>
          <w:szCs w:val="44"/>
        </w:rPr>
        <w:t>月份情况通报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hint="eastAsia" w:eastAsia="仿宋_GB2312"/>
          <w:sz w:val="32"/>
          <w:szCs w:val="32"/>
        </w:rPr>
        <w:t>月份，全区共签收工单</w:t>
      </w:r>
      <w:r>
        <w:rPr>
          <w:rFonts w:hint="eastAsia" w:eastAsia="仿宋_GB2312"/>
          <w:sz w:val="32"/>
          <w:szCs w:val="32"/>
          <w:lang w:val="en-US" w:eastAsia="zh-CN"/>
        </w:rPr>
        <w:t>6015</w:t>
      </w:r>
      <w:r>
        <w:rPr>
          <w:rFonts w:hint="eastAsia" w:eastAsia="仿宋_GB2312"/>
          <w:sz w:val="32"/>
          <w:szCs w:val="32"/>
        </w:rPr>
        <w:t>件，办结工单</w:t>
      </w:r>
      <w:r>
        <w:rPr>
          <w:rFonts w:hint="eastAsia" w:eastAsia="仿宋_GB2312"/>
          <w:sz w:val="32"/>
          <w:szCs w:val="32"/>
          <w:lang w:val="en-US" w:eastAsia="zh-CN"/>
        </w:rPr>
        <w:t>5842</w:t>
      </w:r>
      <w:r>
        <w:rPr>
          <w:rFonts w:hint="eastAsia" w:eastAsia="仿宋_GB2312"/>
          <w:sz w:val="32"/>
          <w:szCs w:val="32"/>
        </w:rPr>
        <w:t>件(含上月流转工单），回访工单</w:t>
      </w:r>
      <w:r>
        <w:rPr>
          <w:rFonts w:hint="eastAsia" w:eastAsia="仿宋_GB2312"/>
          <w:sz w:val="32"/>
          <w:szCs w:val="32"/>
          <w:lang w:val="en-US" w:eastAsia="zh-CN"/>
        </w:rPr>
        <w:t>5786</w:t>
      </w:r>
      <w:r>
        <w:rPr>
          <w:rFonts w:hint="eastAsia" w:eastAsia="仿宋_GB2312"/>
          <w:sz w:val="32"/>
          <w:szCs w:val="32"/>
        </w:rPr>
        <w:t>件。其中，“市长信箱”</w:t>
      </w:r>
      <w:r>
        <w:rPr>
          <w:rFonts w:hint="eastAsia" w:eastAsia="仿宋_GB2312"/>
          <w:sz w:val="32"/>
          <w:szCs w:val="32"/>
          <w:lang w:val="en-US" w:eastAsia="zh-CN"/>
        </w:rPr>
        <w:t>75</w:t>
      </w:r>
      <w:r>
        <w:rPr>
          <w:rFonts w:hint="eastAsia" w:eastAsia="仿宋_GB2312"/>
          <w:sz w:val="32"/>
          <w:szCs w:val="32"/>
        </w:rPr>
        <w:t>件、“联动警情”、“好差评”、“人民网”等共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</w:rPr>
        <w:t>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auto"/>
        <w:ind w:firstLine="640" w:firstLineChars="200"/>
        <w:rPr>
          <w:rFonts w:hint="eastAsia" w:eastAsia="黑体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auto"/>
        <w:ind w:firstLine="640" w:firstLineChars="200"/>
        <w:rPr>
          <w:rFonts w:hint="eastAsia" w:eastAsia="黑体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auto"/>
        <w:ind w:firstLine="640" w:firstLineChars="200"/>
        <w:rPr>
          <w:rFonts w:eastAsia="黑体" w:cs="仿宋_GB2312"/>
          <w:bCs/>
          <w:sz w:val="32"/>
          <w:szCs w:val="32"/>
        </w:rPr>
      </w:pPr>
      <w:r>
        <w:rPr>
          <w:rFonts w:hint="eastAsia" w:eastAsia="黑体" w:cs="仿宋_GB2312"/>
          <w:bCs/>
          <w:sz w:val="32"/>
          <w:szCs w:val="32"/>
        </w:rPr>
        <w:t>一、全市排名情况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hint="eastAsia" w:eastAsia="仿宋_GB2312"/>
          <w:sz w:val="32"/>
          <w:szCs w:val="32"/>
        </w:rPr>
        <w:t>月份，我区12345政务热线工作满意度在</w:t>
      </w:r>
      <w:r>
        <w:rPr>
          <w:rFonts w:hint="eastAsia" w:eastAsia="仿宋_GB2312"/>
          <w:sz w:val="32"/>
          <w:szCs w:val="32"/>
          <w:lang w:val="en-US" w:eastAsia="zh-CN"/>
        </w:rPr>
        <w:t>全市十区县（市）</w:t>
      </w:r>
      <w:r>
        <w:rPr>
          <w:rFonts w:hint="eastAsia" w:eastAsia="仿宋_GB2312"/>
          <w:sz w:val="32"/>
          <w:szCs w:val="32"/>
        </w:rPr>
        <w:t>排名第一，总分排名第一。具体情况如下：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1600"/>
        <w:gridCol w:w="1450"/>
        <w:gridCol w:w="1450"/>
        <w:gridCol w:w="1347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bottom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单 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bottom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月工单总数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bottom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满意度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bottom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满意度排名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bottom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总分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bottom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芙蓉区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5863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99.17%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68.8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岳麓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区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9563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99.16%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68.4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天心区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6709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99.14%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68.4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eastAsia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开福区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8001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99.10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%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68.2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eastAsia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浏阳市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5618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99.09%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67.9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雨花区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11156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99.08%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67.6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长沙县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7217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99.00%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67.4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长沙高新区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4468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98.99%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67.4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望城区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5993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98.98%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67.2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宁乡市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3910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97.56%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57.5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auto"/>
        <w:ind w:firstLine="640" w:firstLineChars="200"/>
        <w:rPr>
          <w:rFonts w:eastAsia="黑体" w:cs="仿宋_GB2312"/>
          <w:bCs/>
          <w:sz w:val="32"/>
          <w:szCs w:val="32"/>
        </w:rPr>
      </w:pPr>
      <w:r>
        <w:rPr>
          <w:rFonts w:hint="eastAsia" w:eastAsia="黑体" w:cs="仿宋_GB2312"/>
          <w:bCs/>
          <w:sz w:val="32"/>
          <w:szCs w:val="32"/>
        </w:rPr>
        <w:t>二、区内情况统计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auto"/>
        <w:ind w:firstLine="643" w:firstLineChars="200"/>
        <w:rPr>
          <w:rFonts w:hint="eastAsia" w:eastAsia="楷体_GB2312" w:cs="仿宋_GB2312"/>
          <w:b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（一）我区12345政务热线工作完成度较好单位（总分70分满分、满意度100%、工单签收数30件以上）：</w:t>
      </w:r>
      <w:r>
        <w:rPr>
          <w:rFonts w:hint="eastAsia" w:eastAsia="仿宋_GB2312"/>
          <w:sz w:val="32"/>
          <w:szCs w:val="32"/>
          <w:lang w:val="en-US" w:eastAsia="zh-CN"/>
        </w:rPr>
        <w:t>东屯渡</w:t>
      </w:r>
      <w:r>
        <w:rPr>
          <w:rFonts w:hint="eastAsia" w:eastAsia="仿宋_GB2312"/>
          <w:sz w:val="32"/>
          <w:szCs w:val="32"/>
        </w:rPr>
        <w:t>街道办事处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火星街道办事处、市政设施维护中心。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auto"/>
        <w:ind w:firstLine="643" w:firstLineChars="200"/>
        <w:rPr>
          <w:rFonts w:hint="default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eastAsia="楷体_GB2312" w:cs="仿宋_GB2312"/>
          <w:b/>
          <w:sz w:val="32"/>
          <w:szCs w:val="32"/>
        </w:rPr>
        <w:t>（二）我区12345政务热线工作完成量较高单位（工单签收数前五名）：</w:t>
      </w:r>
      <w:r>
        <w:rPr>
          <w:rFonts w:hint="eastAsia" w:eastAsia="仿宋_GB2312"/>
          <w:sz w:val="32"/>
          <w:szCs w:val="32"/>
        </w:rPr>
        <w:t>市场监督管理局、行政执法局、人力资源和社会保障局、住房和城乡建设局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医疗保障局。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auto"/>
        <w:ind w:firstLine="643" w:firstLineChars="200"/>
        <w:rPr>
          <w:rFonts w:eastAsia="楷体_GB2312" w:cs="仿宋_GB2312"/>
          <w:b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（</w:t>
      </w:r>
      <w:r>
        <w:rPr>
          <w:rFonts w:hint="eastAsia" w:eastAsia="楷体_GB2312" w:cs="仿宋_GB2312"/>
          <w:b/>
          <w:sz w:val="32"/>
          <w:szCs w:val="32"/>
          <w:lang w:val="en-US" w:eastAsia="zh-CN"/>
        </w:rPr>
        <w:t>三</w:t>
      </w:r>
      <w:r>
        <w:rPr>
          <w:rFonts w:hint="eastAsia" w:eastAsia="楷体_GB2312" w:cs="仿宋_GB2312"/>
          <w:b/>
          <w:sz w:val="32"/>
          <w:szCs w:val="32"/>
        </w:rPr>
        <w:t>）满意度低于97%的单位</w:t>
      </w:r>
    </w:p>
    <w:tbl>
      <w:tblPr>
        <w:tblStyle w:val="6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1"/>
        <w:gridCol w:w="1461"/>
        <w:gridCol w:w="1489"/>
        <w:gridCol w:w="1689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bottom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单 位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bottom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签收工单数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bottom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回访工单数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bottom"/>
              <w:rPr>
                <w:rFonts w:eastAsia="黑体" w:cs="宋体"/>
                <w:spacing w:val="-6"/>
                <w:kern w:val="0"/>
                <w:sz w:val="24"/>
              </w:rPr>
            </w:pPr>
            <w:r>
              <w:rPr>
                <w:rFonts w:hint="eastAsia" w:eastAsia="黑体" w:cs="宋体"/>
                <w:spacing w:val="-6"/>
                <w:kern w:val="0"/>
                <w:sz w:val="24"/>
              </w:rPr>
              <w:t>不满意工单数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bottom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回访满意率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自然资源和规划分局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eastAsia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85.71</w:t>
            </w:r>
            <w:r>
              <w:rPr>
                <w:rFonts w:hint="eastAsia" w:eastAsia="仿宋_GB2312" w:cs="仿宋_GB2312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马坡岭街道办事处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4"/>
                <w:lang w:val="en-US" w:eastAsia="zh-CN"/>
              </w:rPr>
              <w:t>85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4"/>
                <w:lang w:val="en-US" w:eastAsia="zh-CN"/>
              </w:rPr>
              <w:t>76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4"/>
                <w:lang w:val="en-US" w:eastAsia="zh-CN"/>
              </w:rPr>
              <w:t>93.42</w:t>
            </w:r>
            <w:r>
              <w:rPr>
                <w:rFonts w:hint="eastAsia" w:eastAsia="仿宋_GB2312" w:cs="仿宋_GB2312"/>
                <w:color w:val="auto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东岸街道办事处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eastAsia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93.75</w:t>
            </w:r>
            <w:r>
              <w:rPr>
                <w:rFonts w:hint="eastAsia" w:eastAsia="仿宋_GB2312" w:cs="仿宋_GB2312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荷花园街道办事处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121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103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eastAsia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96.12</w:t>
            </w:r>
            <w:r>
              <w:rPr>
                <w:rFonts w:hint="eastAsia" w:eastAsia="仿宋_GB2312" w:cs="仿宋_GB2312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文艺路街道办事处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77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78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96.15%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马王堆街道办事处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105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107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96.26%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auto"/>
        <w:ind w:firstLine="640" w:firstLineChars="200"/>
        <w:rPr>
          <w:rFonts w:eastAsia="黑体" w:cs="仿宋_GB2312"/>
          <w:bCs/>
          <w:sz w:val="32"/>
          <w:szCs w:val="32"/>
        </w:rPr>
      </w:pPr>
      <w:r>
        <w:rPr>
          <w:rFonts w:hint="eastAsia" w:eastAsia="黑体" w:cs="仿宋_GB2312"/>
          <w:bCs/>
          <w:sz w:val="32"/>
          <w:szCs w:val="32"/>
        </w:rPr>
        <w:t>三、本月热线特点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auto"/>
        <w:ind w:firstLine="643" w:firstLineChars="200"/>
        <w:rPr>
          <w:rFonts w:eastAsia="楷体_GB2312" w:cs="仿宋_GB2312"/>
          <w:b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（一）民生诉求热点</w:t>
      </w:r>
    </w:p>
    <w:tbl>
      <w:tblPr>
        <w:tblStyle w:val="6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2098"/>
        <w:gridCol w:w="2415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bottom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类  型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bottom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工单数量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bottom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类  型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bottom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工单数量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消费维权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2039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eastAsia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建筑施工噪音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eastAsia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食品安全管理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286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养老保险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社区工作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196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eastAsia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物业管理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房产市场监管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127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劳动维权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110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auto"/>
        <w:ind w:firstLine="643" w:firstLineChars="200"/>
        <w:rPr>
          <w:rFonts w:eastAsia="楷体_GB2312" w:cs="仿宋_GB2312"/>
          <w:b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（二）营商环境、行政效能类工单情况</w:t>
      </w:r>
    </w:p>
    <w:tbl>
      <w:tblPr>
        <w:tblStyle w:val="6"/>
        <w:tblW w:w="89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41"/>
        <w:gridCol w:w="6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bottom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类型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bottom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工单数量</w:t>
            </w:r>
          </w:p>
        </w:tc>
        <w:tc>
          <w:tcPr>
            <w:tcW w:w="6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bottom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涉及部门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投诉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eastAsia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人力资源和社会保障局2件，荷花园街道办事处1件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表扬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eastAsia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auto"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韭菜园街道办事处1件，东湖街道办事处1件，定王台街道办事处1件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23"/>
        </w:tabs>
        <w:kinsoku/>
        <w:wordWrap/>
        <w:overflowPunct/>
        <w:topLinePunct w:val="0"/>
        <w:autoSpaceDE/>
        <w:autoSpaceDN/>
        <w:bidi w:val="0"/>
        <w:snapToGrid/>
        <w:spacing w:line="480" w:lineRule="auto"/>
        <w:ind w:firstLine="640" w:firstLineChars="200"/>
        <w:rPr>
          <w:rFonts w:hint="eastAsia" w:eastAsia="黑体" w:cs="仿宋_GB2312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23"/>
        </w:tabs>
        <w:kinsoku/>
        <w:wordWrap/>
        <w:overflowPunct/>
        <w:topLinePunct w:val="0"/>
        <w:autoSpaceDE/>
        <w:autoSpaceDN/>
        <w:bidi w:val="0"/>
        <w:snapToGrid/>
        <w:spacing w:line="480" w:lineRule="auto"/>
        <w:ind w:firstLine="640" w:firstLineChars="200"/>
        <w:rPr>
          <w:rFonts w:hint="eastAsia" w:eastAsia="黑体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eastAsia="黑体" w:cs="仿宋_GB2312"/>
          <w:bCs/>
          <w:color w:val="auto"/>
          <w:sz w:val="32"/>
          <w:szCs w:val="32"/>
          <w:lang w:val="en-US" w:eastAsia="zh-CN"/>
        </w:rPr>
        <w:t>四、</w:t>
      </w:r>
      <w:r>
        <w:rPr>
          <w:rFonts w:hint="eastAsia" w:eastAsia="黑体" w:cs="仿宋_GB2312"/>
          <w:bCs/>
          <w:sz w:val="32"/>
          <w:szCs w:val="32"/>
          <w:lang w:val="en-US" w:eastAsia="zh-CN"/>
        </w:rPr>
        <w:t>“接诉即办、未诉先办”专栏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区热线办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</w:rPr>
        <w:t>月份下发了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做好十一黄金周期间景点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保障工作为主题的“未诉先办”提醒函。定王台街道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办事处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及时</w:t>
      </w:r>
      <w:r>
        <w:rPr>
          <w:rFonts w:hint="eastAsia" w:ascii="仿宋_GB2312" w:hAnsi="仿宋_GB2312" w:eastAsia="仿宋_GB2312" w:cs="仿宋_GB2312"/>
          <w:sz w:val="32"/>
          <w:szCs w:val="32"/>
        </w:rPr>
        <w:t>组建五一商圈志愿服务站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国庆长假期间，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安排</w:t>
      </w:r>
      <w:r>
        <w:rPr>
          <w:rFonts w:hint="eastAsia" w:ascii="仿宋_GB2312" w:hAnsi="仿宋_GB2312" w:eastAsia="仿宋_GB2312" w:cs="仿宋_GB2312"/>
          <w:sz w:val="32"/>
          <w:szCs w:val="32"/>
        </w:rPr>
        <w:t>城管队员、街道、社区志愿者驻点做服务，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并每日对商圈进行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巡查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配设了多项便民设施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在疫情防控方面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定王台街道走马楼社区</w:t>
      </w:r>
      <w:r>
        <w:rPr>
          <w:rFonts w:hint="eastAsia" w:ascii="仿宋_GB2312" w:hAnsi="仿宋_GB2312" w:eastAsia="仿宋_GB2312" w:cs="仿宋_GB2312"/>
          <w:sz w:val="32"/>
          <w:szCs w:val="32"/>
        </w:rPr>
        <w:t>共计为楼宇企业送上核酸检测8场，疫苗接种13场，共有近4万人次进行了检测，有力的保障了国庆黄金周的正常营业及疫情防控，为长沙经济注入了巨大的活力。通过一系列举措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十月份我区居民消费投诉、疫情等工单数量大大降低，群众获得感、幸福感、安全感大大提高。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附件：芙蓉区12345政务热线工作主要考核指标综合得分排行榜(根据我区考核标准执行)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auto"/>
        <w:ind w:left="3990" w:leftChars="1900"/>
        <w:jc w:val="center"/>
        <w:rPr>
          <w:rFonts w:hint="eastAsia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auto"/>
        <w:ind w:left="3990" w:leftChars="1900"/>
        <w:jc w:val="center"/>
        <w:rPr>
          <w:rFonts w:hint="eastAsia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auto"/>
        <w:ind w:left="3990" w:leftChars="1900"/>
        <w:jc w:val="center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长沙市芙蓉区行政审批服务局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auto"/>
        <w:ind w:left="3990" w:leftChars="1900"/>
        <w:jc w:val="center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2021年</w:t>
      </w:r>
      <w:r>
        <w:rPr>
          <w:rFonts w:hint="eastAsia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eastAsia="仿宋_GB2312" w:cs="仿宋_GB2312"/>
          <w:sz w:val="32"/>
          <w:szCs w:val="32"/>
        </w:rPr>
        <w:t>月</w:t>
      </w:r>
      <w:r>
        <w:rPr>
          <w:rFonts w:hint="eastAsia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firstLine="640" w:firstLineChars="200"/>
        <w:rPr>
          <w:rFonts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74" w:right="1588" w:bottom="1474" w:left="1588" w:header="851" w:footer="992" w:gutter="0"/>
          <w:cols w:space="720" w:num="1"/>
          <w:titlePg/>
          <w:docGrid w:type="lines" w:linePitch="319" w:charSpace="0"/>
        </w:sectPr>
      </w:pPr>
    </w:p>
    <w:p>
      <w:pPr>
        <w:spacing w:line="600" w:lineRule="exact"/>
        <w:rPr>
          <w:rFonts w:eastAsia="黑体" w:cs="仿宋_GB2312"/>
          <w:sz w:val="32"/>
          <w:szCs w:val="32"/>
        </w:rPr>
      </w:pPr>
      <w:r>
        <w:rPr>
          <w:rFonts w:hint="eastAsia" w:eastAsia="黑体" w:cs="仿宋_GB2312"/>
          <w:sz w:val="32"/>
          <w:szCs w:val="32"/>
        </w:rPr>
        <w:t>附件：</w:t>
      </w:r>
    </w:p>
    <w:p>
      <w:pPr>
        <w:spacing w:line="700" w:lineRule="exact"/>
        <w:rPr>
          <w:rFonts w:eastAsia="方正小标宋简体" w:cs="宋体"/>
          <w:bCs/>
          <w:w w:val="92"/>
          <w:kern w:val="0"/>
          <w:sz w:val="44"/>
          <w:szCs w:val="44"/>
        </w:rPr>
      </w:pPr>
      <w:r>
        <w:rPr>
          <w:rFonts w:hint="eastAsia" w:eastAsia="方正小标宋简体" w:cs="宋体"/>
          <w:bCs/>
          <w:spacing w:val="13"/>
          <w:w w:val="97"/>
          <w:kern w:val="0"/>
          <w:sz w:val="44"/>
          <w:szCs w:val="44"/>
        </w:rPr>
        <w:t>芙蓉区12345政务热线成员单位工单办理主要考核指标综合得分排行</w:t>
      </w:r>
      <w:r>
        <w:rPr>
          <w:rFonts w:hint="eastAsia" w:eastAsia="方正小标宋简体" w:cs="宋体"/>
          <w:bCs/>
          <w:spacing w:val="-10"/>
          <w:w w:val="97"/>
          <w:kern w:val="0"/>
          <w:sz w:val="44"/>
          <w:szCs w:val="44"/>
        </w:rPr>
        <w:t>榜</w:t>
      </w:r>
    </w:p>
    <w:p>
      <w:pPr>
        <w:spacing w:before="159" w:beforeLines="50" w:after="159" w:afterLines="50" w:line="400" w:lineRule="exact"/>
        <w:jc w:val="center"/>
        <w:rPr>
          <w:rFonts w:eastAsia="黑体" w:cs="宋体"/>
          <w:sz w:val="32"/>
          <w:szCs w:val="32"/>
        </w:rPr>
      </w:pPr>
      <w:r>
        <w:rPr>
          <w:rFonts w:hint="eastAsia" w:eastAsia="黑体" w:cs="宋体"/>
          <w:bCs/>
          <w:sz w:val="32"/>
          <w:szCs w:val="32"/>
        </w:rPr>
        <w:t>一、街道（</w:t>
      </w:r>
      <w:r>
        <w:rPr>
          <w:rFonts w:eastAsia="黑体" w:cs="宋体"/>
          <w:bCs/>
          <w:sz w:val="32"/>
          <w:szCs w:val="32"/>
        </w:rPr>
        <w:t>20</w:t>
      </w:r>
      <w:r>
        <w:rPr>
          <w:rFonts w:hint="eastAsia" w:eastAsia="黑体" w:cs="宋体"/>
          <w:bCs/>
          <w:sz w:val="32"/>
          <w:szCs w:val="32"/>
        </w:rPr>
        <w:t>21年</w:t>
      </w:r>
      <w:r>
        <w:rPr>
          <w:rFonts w:hint="eastAsia" w:eastAsia="黑体" w:cs="宋体"/>
          <w:bCs/>
          <w:sz w:val="32"/>
          <w:szCs w:val="32"/>
          <w:lang w:val="en-US" w:eastAsia="zh-CN"/>
        </w:rPr>
        <w:t>10</w:t>
      </w:r>
      <w:r>
        <w:rPr>
          <w:rFonts w:hint="eastAsia" w:eastAsia="黑体" w:cs="宋体"/>
          <w:bCs/>
          <w:sz w:val="32"/>
          <w:szCs w:val="32"/>
        </w:rPr>
        <w:t>月)</w:t>
      </w:r>
    </w:p>
    <w:tbl>
      <w:tblPr>
        <w:tblStyle w:val="6"/>
        <w:tblW w:w="147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7"/>
        <w:gridCol w:w="559"/>
        <w:gridCol w:w="763"/>
        <w:gridCol w:w="668"/>
        <w:gridCol w:w="654"/>
        <w:gridCol w:w="990"/>
        <w:gridCol w:w="755"/>
        <w:gridCol w:w="891"/>
        <w:gridCol w:w="845"/>
        <w:gridCol w:w="730"/>
        <w:gridCol w:w="810"/>
        <w:gridCol w:w="720"/>
        <w:gridCol w:w="1017"/>
        <w:gridCol w:w="825"/>
        <w:gridCol w:w="810"/>
        <w:gridCol w:w="720"/>
        <w:gridCol w:w="5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bCs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部门名称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bCs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签收  总数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未按时</w:t>
            </w:r>
          </w:p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签收数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未及时退回数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退单 驳回数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办结工单（含上月流转工单）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未按时  办结数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按时   办结率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延期  驳回数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发回  重办数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回访工单总数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回访  满意数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回访    满意度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延期  办理率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重复  交办率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Cs w:val="21"/>
              </w:rPr>
              <w:t>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东屯渡街道办事处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143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135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138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138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8.00%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火星街道办事处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94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97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93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韭菜园街道办事处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隆平高科技园管理委员会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五里牌街道办事处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42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39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42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42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69.9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定王台街道办事处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134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147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141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140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99.29%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69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东湖街道办事处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72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74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98.61%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68.2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湘湖管理局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60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56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55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54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98.18%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68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朝阳街道办事处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130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138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137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134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97.81%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67.4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马王堆街道办事处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105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107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103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96.26%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5.00%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67.2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文艺路街道办事处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77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79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75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96.15%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3.00%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67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东岸街道办事处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31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36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32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93.75%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3.00%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66.5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荷花园街道办事处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121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123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99.18%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99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96.12%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64.6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马坡岭街道办事处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85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86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95.34%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93.42%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56.8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14</w:t>
            </w:r>
          </w:p>
        </w:tc>
      </w:tr>
    </w:tbl>
    <w:p>
      <w:pPr>
        <w:spacing w:line="700" w:lineRule="exact"/>
        <w:rPr>
          <w:rFonts w:eastAsia="方正小标宋简体" w:cs="宋体"/>
          <w:bCs/>
          <w:w w:val="92"/>
          <w:kern w:val="0"/>
          <w:sz w:val="44"/>
          <w:szCs w:val="44"/>
        </w:rPr>
      </w:pPr>
      <w:r>
        <w:rPr>
          <w:rFonts w:hint="eastAsia" w:eastAsia="方正小标宋简体" w:cs="宋体"/>
          <w:bCs/>
          <w:spacing w:val="5"/>
          <w:kern w:val="0"/>
          <w:sz w:val="44"/>
          <w:szCs w:val="44"/>
          <w:fitText w:val="13973" w:id="2117563961"/>
        </w:rPr>
        <w:t>芙蓉区12345政务热线成员单位工单办理主要考核指标综合得分排行</w:t>
      </w:r>
      <w:r>
        <w:rPr>
          <w:rFonts w:hint="eastAsia" w:eastAsia="方正小标宋简体" w:cs="宋体"/>
          <w:bCs/>
          <w:spacing w:val="16"/>
          <w:kern w:val="0"/>
          <w:sz w:val="44"/>
          <w:szCs w:val="44"/>
          <w:fitText w:val="13973" w:id="2117563961"/>
        </w:rPr>
        <w:t>榜</w:t>
      </w:r>
    </w:p>
    <w:p>
      <w:pPr>
        <w:spacing w:before="159" w:beforeLines="50" w:after="159" w:afterLines="50" w:line="400" w:lineRule="exact"/>
        <w:jc w:val="center"/>
        <w:rPr>
          <w:rFonts w:eastAsia="黑体" w:cs="宋体"/>
          <w:bCs/>
          <w:sz w:val="32"/>
          <w:szCs w:val="32"/>
        </w:rPr>
      </w:pPr>
      <w:r>
        <w:rPr>
          <w:rFonts w:hint="eastAsia" w:eastAsia="黑体" w:cs="宋体"/>
          <w:bCs/>
          <w:sz w:val="32"/>
          <w:szCs w:val="32"/>
        </w:rPr>
        <w:t>二、区直部门（</w:t>
      </w:r>
      <w:r>
        <w:rPr>
          <w:rFonts w:eastAsia="黑体" w:cs="宋体"/>
          <w:bCs/>
          <w:sz w:val="32"/>
          <w:szCs w:val="32"/>
        </w:rPr>
        <w:t>20</w:t>
      </w:r>
      <w:r>
        <w:rPr>
          <w:rFonts w:hint="eastAsia" w:eastAsia="黑体" w:cs="宋体"/>
          <w:bCs/>
          <w:sz w:val="32"/>
          <w:szCs w:val="32"/>
        </w:rPr>
        <w:t>21年</w:t>
      </w:r>
      <w:r>
        <w:rPr>
          <w:rFonts w:hint="eastAsia" w:eastAsia="黑体" w:cs="宋体"/>
          <w:bCs/>
          <w:sz w:val="32"/>
          <w:szCs w:val="32"/>
          <w:lang w:val="en-US" w:eastAsia="zh-CN"/>
        </w:rPr>
        <w:t>10</w:t>
      </w:r>
      <w:r>
        <w:rPr>
          <w:rFonts w:hint="eastAsia" w:eastAsia="黑体" w:cs="宋体"/>
          <w:bCs/>
          <w:sz w:val="32"/>
          <w:szCs w:val="32"/>
        </w:rPr>
        <w:t>月)</w:t>
      </w:r>
    </w:p>
    <w:tbl>
      <w:tblPr>
        <w:tblStyle w:val="6"/>
        <w:tblW w:w="147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4"/>
        <w:gridCol w:w="50"/>
        <w:gridCol w:w="581"/>
        <w:gridCol w:w="97"/>
        <w:gridCol w:w="690"/>
        <w:gridCol w:w="672"/>
        <w:gridCol w:w="78"/>
        <w:gridCol w:w="669"/>
        <w:gridCol w:w="81"/>
        <w:gridCol w:w="905"/>
        <w:gridCol w:w="100"/>
        <w:gridCol w:w="664"/>
        <w:gridCol w:w="32"/>
        <w:gridCol w:w="840"/>
        <w:gridCol w:w="45"/>
        <w:gridCol w:w="765"/>
        <w:gridCol w:w="72"/>
        <w:gridCol w:w="678"/>
        <w:gridCol w:w="765"/>
        <w:gridCol w:w="111"/>
        <w:gridCol w:w="607"/>
        <w:gridCol w:w="230"/>
        <w:gridCol w:w="687"/>
        <w:gridCol w:w="195"/>
        <w:gridCol w:w="656"/>
        <w:gridCol w:w="196"/>
        <w:gridCol w:w="662"/>
        <w:gridCol w:w="197"/>
        <w:gridCol w:w="531"/>
        <w:gridCol w:w="135"/>
        <w:gridCol w:w="5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1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部门名称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签收</w:t>
            </w:r>
            <w:r>
              <w:rPr>
                <w:rFonts w:hint="eastAsia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hAnsi="黑体" w:eastAsia="黑体"/>
                <w:color w:val="000000"/>
                <w:szCs w:val="21"/>
              </w:rPr>
              <w:t>总数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未按时</w:t>
            </w:r>
          </w:p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签收数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未及时退回数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退单</w:t>
            </w:r>
            <w:r>
              <w:rPr>
                <w:rFonts w:hint="eastAsia" w:eastAsia="黑体"/>
                <w:color w:val="000000"/>
                <w:szCs w:val="21"/>
              </w:rPr>
              <w:t xml:space="preserve"> </w:t>
            </w:r>
            <w:r>
              <w:rPr>
                <w:rFonts w:hint="eastAsia" w:hAnsi="黑体" w:eastAsia="黑体"/>
                <w:color w:val="000000"/>
                <w:szCs w:val="21"/>
              </w:rPr>
              <w:t>驳回数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办结工单（含上月流转工单）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未按时</w:t>
            </w:r>
            <w:r>
              <w:rPr>
                <w:rFonts w:hint="eastAsia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hAnsi="黑体" w:eastAsia="黑体"/>
                <w:color w:val="000000"/>
                <w:szCs w:val="21"/>
              </w:rPr>
              <w:t>办结数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按时</w:t>
            </w:r>
            <w:r>
              <w:rPr>
                <w:rFonts w:hint="eastAsia" w:eastAsia="黑体"/>
                <w:color w:val="000000"/>
                <w:szCs w:val="21"/>
              </w:rPr>
              <w:t xml:space="preserve">   </w:t>
            </w:r>
            <w:r>
              <w:rPr>
                <w:rFonts w:hint="eastAsia" w:hAnsi="黑体" w:eastAsia="黑体"/>
                <w:color w:val="000000"/>
                <w:szCs w:val="21"/>
              </w:rPr>
              <w:t>办结率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延期</w:t>
            </w:r>
            <w:r>
              <w:rPr>
                <w:rFonts w:hint="eastAsia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hAnsi="黑体" w:eastAsia="黑体"/>
                <w:color w:val="000000"/>
                <w:szCs w:val="21"/>
              </w:rPr>
              <w:t>驳回数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发回</w:t>
            </w:r>
            <w:r>
              <w:rPr>
                <w:rFonts w:hint="eastAsia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hAnsi="黑体" w:eastAsia="黑体"/>
                <w:color w:val="000000"/>
                <w:szCs w:val="21"/>
              </w:rPr>
              <w:t>重办数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回访工单总数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回访</w:t>
            </w:r>
            <w:r>
              <w:rPr>
                <w:rFonts w:hint="eastAsia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hAnsi="黑体" w:eastAsia="黑体"/>
                <w:color w:val="000000"/>
                <w:szCs w:val="21"/>
              </w:rPr>
              <w:t>满意数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回访</w:t>
            </w:r>
            <w:r>
              <w:rPr>
                <w:rFonts w:hint="eastAsia" w:eastAsia="黑体"/>
                <w:color w:val="000000"/>
                <w:szCs w:val="21"/>
              </w:rPr>
              <w:t xml:space="preserve">    </w:t>
            </w:r>
            <w:r>
              <w:rPr>
                <w:rFonts w:hint="eastAsia" w:hAnsi="黑体" w:eastAsia="黑体"/>
                <w:color w:val="000000"/>
                <w:szCs w:val="21"/>
              </w:rPr>
              <w:t>满意度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延期</w:t>
            </w:r>
            <w:r>
              <w:rPr>
                <w:rFonts w:hint="eastAsia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hAnsi="黑体" w:eastAsia="黑体"/>
                <w:color w:val="000000"/>
                <w:szCs w:val="21"/>
              </w:rPr>
              <w:t>办理率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重复</w:t>
            </w:r>
            <w:r>
              <w:rPr>
                <w:rFonts w:hint="eastAsia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hAnsi="黑体" w:eastAsia="黑体"/>
                <w:color w:val="000000"/>
                <w:szCs w:val="21"/>
              </w:rPr>
              <w:t>交办率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总分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市政设施维护中心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34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4.00%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市容环境卫生维护中心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民政局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金融事务中心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宣传部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长沙火车站地区综合管理办公室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退役军人事务局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财政局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生态环境分局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交通运输局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工业和信息化局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隆平水稻博物馆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机关事务中心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部门名称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签收</w:t>
            </w:r>
            <w:r>
              <w:rPr>
                <w:rFonts w:hint="eastAsia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hAnsi="黑体" w:eastAsia="黑体"/>
                <w:color w:val="000000"/>
                <w:szCs w:val="21"/>
              </w:rPr>
              <w:t>总数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未按时</w:t>
            </w:r>
          </w:p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签收数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未及时退回数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退单</w:t>
            </w:r>
            <w:r>
              <w:rPr>
                <w:rFonts w:hint="eastAsia" w:eastAsia="黑体"/>
                <w:color w:val="000000"/>
                <w:szCs w:val="21"/>
              </w:rPr>
              <w:t xml:space="preserve"> </w:t>
            </w:r>
            <w:r>
              <w:rPr>
                <w:rFonts w:hint="eastAsia" w:hAnsi="黑体" w:eastAsia="黑体"/>
                <w:color w:val="000000"/>
                <w:szCs w:val="21"/>
              </w:rPr>
              <w:t>驳回数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办结工单（含上月流转工单）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未按时</w:t>
            </w:r>
            <w:r>
              <w:rPr>
                <w:rFonts w:hint="eastAsia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hAnsi="黑体" w:eastAsia="黑体"/>
                <w:color w:val="000000"/>
                <w:szCs w:val="21"/>
              </w:rPr>
              <w:t>办结数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按时</w:t>
            </w:r>
            <w:r>
              <w:rPr>
                <w:rFonts w:hint="eastAsia" w:eastAsia="黑体"/>
                <w:color w:val="000000"/>
                <w:szCs w:val="21"/>
              </w:rPr>
              <w:t xml:space="preserve">   </w:t>
            </w:r>
            <w:r>
              <w:rPr>
                <w:rFonts w:hint="eastAsia" w:hAnsi="黑体" w:eastAsia="黑体"/>
                <w:color w:val="000000"/>
                <w:szCs w:val="21"/>
              </w:rPr>
              <w:t>办结率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延期</w:t>
            </w:r>
            <w:r>
              <w:rPr>
                <w:rFonts w:hint="eastAsia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hAnsi="黑体" w:eastAsia="黑体"/>
                <w:color w:val="000000"/>
                <w:szCs w:val="21"/>
              </w:rPr>
              <w:t>驳回数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发回</w:t>
            </w:r>
            <w:r>
              <w:rPr>
                <w:rFonts w:hint="eastAsia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hAnsi="黑体" w:eastAsia="黑体"/>
                <w:color w:val="000000"/>
                <w:szCs w:val="21"/>
              </w:rPr>
              <w:t>重办数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回访工单总数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回访</w:t>
            </w:r>
            <w:r>
              <w:rPr>
                <w:rFonts w:hint="eastAsia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hAnsi="黑体" w:eastAsia="黑体"/>
                <w:color w:val="000000"/>
                <w:szCs w:val="21"/>
              </w:rPr>
              <w:t>满意数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回访</w:t>
            </w:r>
            <w:r>
              <w:rPr>
                <w:rFonts w:hint="eastAsia" w:eastAsia="黑体"/>
                <w:color w:val="000000"/>
                <w:szCs w:val="21"/>
              </w:rPr>
              <w:t xml:space="preserve">    </w:t>
            </w:r>
            <w:r>
              <w:rPr>
                <w:rFonts w:hint="eastAsia" w:hAnsi="黑体" w:eastAsia="黑体"/>
                <w:color w:val="000000"/>
                <w:szCs w:val="21"/>
              </w:rPr>
              <w:t>满意度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延期</w:t>
            </w:r>
            <w:r>
              <w:rPr>
                <w:rFonts w:hint="eastAsia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hAnsi="黑体" w:eastAsia="黑体"/>
                <w:color w:val="000000"/>
                <w:szCs w:val="21"/>
              </w:rPr>
              <w:t>办理率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重复</w:t>
            </w:r>
            <w:r>
              <w:rPr>
                <w:rFonts w:hint="eastAsia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hAnsi="黑体" w:eastAsia="黑体"/>
                <w:color w:val="000000"/>
                <w:szCs w:val="21"/>
              </w:rPr>
              <w:t>交办率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总分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Cs w:val="21"/>
              </w:rPr>
              <w:t>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棚户区改造事务中心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应急管理局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残联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妇女联合会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公共工程建设中心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32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42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44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44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69.9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农业农村局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69.9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文化旅游体育局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24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4.00%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69.8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城市管理局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69.7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医疗保障局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165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156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155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155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69.6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发展和改革局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69.6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住房和城乡建设局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360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373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356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354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99.44%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8.00%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69.4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行政执法局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682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690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683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682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99.85%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69.1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卫生健康局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98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104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105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104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99.05%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4.00%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68.8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教育局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161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181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184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182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98.91%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68.6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行政审批服务局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80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80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80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79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98.75%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68.4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园林绿化维护中心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52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54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53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52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98.11%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67.8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市场监督管理局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2443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2398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2366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2358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99.66%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23.00%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67.2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人力资源和社会保障局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455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456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99.12%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457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454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99.34%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66.8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自然资源和规划分局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18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85.71%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6.00%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66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城建投公司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67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55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98.18%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49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48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97.96%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63.8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长沙市晓园管理处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50.00%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59.6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征地事务中心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18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44.44%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100.00%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DFD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0.00%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58.8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35</w:t>
            </w:r>
          </w:p>
        </w:tc>
      </w:tr>
    </w:tbl>
    <w:p>
      <w:pPr>
        <w:spacing w:line="20" w:lineRule="exact"/>
        <w:rPr>
          <w:color w:val="FF0000"/>
        </w:rPr>
      </w:pPr>
    </w:p>
    <w:p>
      <w:pPr>
        <w:jc w:val="left"/>
        <w:rPr>
          <w:rStyle w:val="11"/>
          <w:rFonts w:hint="eastAsia" w:ascii="楷体_GB2312" w:eastAsia="楷体_GB2312"/>
          <w:lang w:val="en-US" w:eastAsia="zh-CN"/>
        </w:rPr>
      </w:pPr>
      <w:r>
        <w:rPr>
          <w:rStyle w:val="11"/>
          <w:rFonts w:hint="eastAsia" w:ascii="楷体_GB2312" w:eastAsia="楷体_GB2312"/>
          <w:lang w:val="en-US" w:eastAsia="zh-CN"/>
        </w:rPr>
        <w:t>备注：当月无办结工单、无回访工单的不纳入考核排名。</w:t>
      </w:r>
    </w:p>
    <w:p>
      <w:pPr>
        <w:jc w:val="left"/>
        <w:rPr>
          <w:rFonts w:hint="eastAsia" w:eastAsia="仿宋_GB2312"/>
          <w:color w:val="000000"/>
          <w:szCs w:val="21"/>
          <w:lang w:val="en-US" w:eastAsia="zh-CN"/>
        </w:rPr>
      </w:pPr>
    </w:p>
    <w:p>
      <w:pPr>
        <w:jc w:val="left"/>
        <w:rPr>
          <w:rFonts w:hint="default" w:eastAsia="仿宋_GB2312"/>
          <w:color w:val="000000"/>
          <w:szCs w:val="21"/>
          <w:lang w:val="en-US" w:eastAsia="zh-CN"/>
        </w:rPr>
      </w:pPr>
    </w:p>
    <w:p>
      <w:pPr>
        <w:rPr>
          <w:rStyle w:val="11"/>
          <w:rFonts w:hint="default"/>
        </w:rPr>
      </w:pPr>
      <w:r>
        <w:rPr>
          <w:rStyle w:val="11"/>
          <w:rFonts w:hint="default"/>
        </w:rPr>
        <w:t>考核规则：</w:t>
      </w:r>
    </w:p>
    <w:p>
      <w:pPr>
        <w:rPr>
          <w:rStyle w:val="11"/>
          <w:rFonts w:ascii="楷体_GB2312" w:eastAsia="楷体_GB2312"/>
        </w:rPr>
      </w:pPr>
      <w:r>
        <w:rPr>
          <w:rStyle w:val="11"/>
          <w:rFonts w:ascii="楷体_GB2312" w:eastAsia="楷体_GB2312"/>
        </w:rPr>
        <w:t>未按时签收每次扣0.1分，满分10分，扣完为止。</w:t>
      </w:r>
    </w:p>
    <w:p>
      <w:pPr>
        <w:rPr>
          <w:rStyle w:val="11"/>
          <w:rFonts w:ascii="楷体_GB2312" w:eastAsia="楷体_GB2312"/>
        </w:rPr>
      </w:pPr>
      <w:r>
        <w:rPr>
          <w:rStyle w:val="11"/>
          <w:rFonts w:ascii="楷体_GB2312" w:eastAsia="楷体_GB2312"/>
        </w:rPr>
        <w:t>按时办结率=按时办结数/办理量总数，每降低0.1%扣0.2分，不足0.1%的按0.1%扣，满分10分，扣完为止。</w:t>
      </w:r>
    </w:p>
    <w:p>
      <w:pPr>
        <w:jc w:val="left"/>
        <w:rPr>
          <w:rStyle w:val="11"/>
          <w:rFonts w:ascii="楷体_GB2312" w:eastAsia="楷体_GB2312"/>
        </w:rPr>
      </w:pPr>
      <w:r>
        <w:rPr>
          <w:rStyle w:val="11"/>
          <w:rFonts w:ascii="楷体_GB2312" w:eastAsia="楷体_GB2312"/>
        </w:rPr>
        <w:t>延期办理率=延期次数/办理量总数，＜30%不扣分，升高1%扣0.2分，不足1%的按1%扣，延期驳回每次扣0.2分，满分10分，扣完为止。</w:t>
      </w:r>
    </w:p>
    <w:p>
      <w:pPr>
        <w:rPr>
          <w:rStyle w:val="11"/>
          <w:rFonts w:ascii="楷体_GB2312" w:eastAsia="楷体_GB2312"/>
        </w:rPr>
      </w:pPr>
      <w:r>
        <w:rPr>
          <w:rStyle w:val="11"/>
          <w:rFonts w:ascii="楷体_GB2312" w:eastAsia="楷体_GB2312"/>
        </w:rPr>
        <w:t>重复交办率=重复交办数/签收工单总数，＜5%不扣分，升高1%扣0.2分，不足1%的按1%扣，满分5分，扣完为止。</w:t>
      </w:r>
    </w:p>
    <w:p>
      <w:pPr>
        <w:rPr>
          <w:rStyle w:val="11"/>
          <w:rFonts w:ascii="楷体_GB2312" w:eastAsia="楷体_GB2312"/>
        </w:rPr>
      </w:pPr>
      <w:r>
        <w:rPr>
          <w:rStyle w:val="11"/>
          <w:rFonts w:ascii="楷体_GB2312" w:eastAsia="楷体_GB2312"/>
        </w:rPr>
        <w:t>退单驳回每次扣0.2分，满分5分，扣完为止。</w:t>
      </w:r>
    </w:p>
    <w:p>
      <w:pPr>
        <w:rPr>
          <w:rStyle w:val="11"/>
          <w:rFonts w:ascii="楷体_GB2312" w:eastAsia="楷体_GB2312"/>
        </w:rPr>
      </w:pPr>
      <w:r>
        <w:rPr>
          <w:rStyle w:val="11"/>
          <w:rFonts w:ascii="楷体_GB2312" w:eastAsia="楷体_GB2312"/>
        </w:rPr>
        <w:t>发回重办每次扣0.2分，满分10分，扣完为止。</w:t>
      </w:r>
    </w:p>
    <w:p>
      <w:pPr>
        <w:rPr>
          <w:rStyle w:val="11"/>
          <w:rFonts w:hint="default" w:ascii="楷体_GB2312" w:eastAsia="楷体_GB2312"/>
        </w:rPr>
      </w:pPr>
      <w:r>
        <w:rPr>
          <w:rStyle w:val="11"/>
          <w:rFonts w:ascii="楷体_GB2312" w:eastAsia="楷体_GB2312"/>
        </w:rPr>
        <w:t>回访满意度=回访满意数/回访工单总数，本月无回访满意的用“/”表示；100%为满分，每降低一档扣0.2分，满分20分，扣完为止。</w:t>
      </w:r>
    </w:p>
    <w:p>
      <w:pPr>
        <w:rPr>
          <w:rStyle w:val="11"/>
          <w:rFonts w:ascii="楷体_GB2312" w:eastAsia="楷体_GB2312"/>
        </w:rPr>
      </w:pPr>
      <w:r>
        <w:rPr>
          <w:rStyle w:val="11"/>
          <w:rFonts w:ascii="楷体_GB2312" w:eastAsia="楷体_GB2312"/>
        </w:rPr>
        <w:t>当月无办结、无回访的不纳入考核排名。</w:t>
      </w:r>
    </w:p>
    <w:p>
      <w:pPr>
        <w:rPr>
          <w:rFonts w:hint="default" w:ascii="仿宋" w:hAnsi="仿宋" w:eastAsia="仿宋" w:cs="仿宋"/>
          <w:lang w:val="en-US" w:eastAsia="zh-CN"/>
        </w:rPr>
      </w:pPr>
    </w:p>
    <w:sectPr>
      <w:footerReference r:id="rId5" w:type="default"/>
      <w:pgSz w:w="16838" w:h="11906" w:orient="landscape"/>
      <w:pgMar w:top="1188" w:right="1474" w:bottom="1588" w:left="1474" w:header="851" w:footer="992" w:gutter="0"/>
      <w:cols w:space="720" w:num="1"/>
      <w:titlePg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8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D562F"/>
    <w:rsid w:val="00007E70"/>
    <w:rsid w:val="000420EE"/>
    <w:rsid w:val="000679EB"/>
    <w:rsid w:val="00067D86"/>
    <w:rsid w:val="000A43CD"/>
    <w:rsid w:val="000F486B"/>
    <w:rsid w:val="00123229"/>
    <w:rsid w:val="00153FAE"/>
    <w:rsid w:val="001B4CD8"/>
    <w:rsid w:val="001F6ADF"/>
    <w:rsid w:val="0022346D"/>
    <w:rsid w:val="00250B8E"/>
    <w:rsid w:val="002D416C"/>
    <w:rsid w:val="002D4F2E"/>
    <w:rsid w:val="00317CD0"/>
    <w:rsid w:val="003303BF"/>
    <w:rsid w:val="00401F3C"/>
    <w:rsid w:val="00405D29"/>
    <w:rsid w:val="00407DA3"/>
    <w:rsid w:val="0042183D"/>
    <w:rsid w:val="00445CEE"/>
    <w:rsid w:val="00457792"/>
    <w:rsid w:val="00457D9A"/>
    <w:rsid w:val="00474A62"/>
    <w:rsid w:val="004F383E"/>
    <w:rsid w:val="005C5182"/>
    <w:rsid w:val="005E41AD"/>
    <w:rsid w:val="005F2E64"/>
    <w:rsid w:val="005F73AF"/>
    <w:rsid w:val="00625E53"/>
    <w:rsid w:val="006932AE"/>
    <w:rsid w:val="0069719D"/>
    <w:rsid w:val="006A7344"/>
    <w:rsid w:val="006D6B6E"/>
    <w:rsid w:val="007507EC"/>
    <w:rsid w:val="00753973"/>
    <w:rsid w:val="0076167B"/>
    <w:rsid w:val="00767119"/>
    <w:rsid w:val="00771F1E"/>
    <w:rsid w:val="007919C4"/>
    <w:rsid w:val="007B1351"/>
    <w:rsid w:val="007C192B"/>
    <w:rsid w:val="00836A7C"/>
    <w:rsid w:val="008B0521"/>
    <w:rsid w:val="008D0D1B"/>
    <w:rsid w:val="00923F8B"/>
    <w:rsid w:val="009722D1"/>
    <w:rsid w:val="00991A8A"/>
    <w:rsid w:val="00995894"/>
    <w:rsid w:val="009B5DD2"/>
    <w:rsid w:val="00A4131F"/>
    <w:rsid w:val="00A91251"/>
    <w:rsid w:val="00AC0ADD"/>
    <w:rsid w:val="00B03031"/>
    <w:rsid w:val="00B16DE2"/>
    <w:rsid w:val="00B242FA"/>
    <w:rsid w:val="00B41DA1"/>
    <w:rsid w:val="00B53B0A"/>
    <w:rsid w:val="00B9462A"/>
    <w:rsid w:val="00BB644B"/>
    <w:rsid w:val="00BC0DD9"/>
    <w:rsid w:val="00C308E9"/>
    <w:rsid w:val="00C8015B"/>
    <w:rsid w:val="00D067CA"/>
    <w:rsid w:val="00D6123B"/>
    <w:rsid w:val="00DB4754"/>
    <w:rsid w:val="00DD06A9"/>
    <w:rsid w:val="00DE2F80"/>
    <w:rsid w:val="00DE463C"/>
    <w:rsid w:val="00EA48CA"/>
    <w:rsid w:val="00ED4AFA"/>
    <w:rsid w:val="00F6520B"/>
    <w:rsid w:val="00FB2642"/>
    <w:rsid w:val="0105001F"/>
    <w:rsid w:val="01F7338F"/>
    <w:rsid w:val="024D6EA4"/>
    <w:rsid w:val="027A3E2C"/>
    <w:rsid w:val="0345109A"/>
    <w:rsid w:val="04A730CE"/>
    <w:rsid w:val="04E37CEB"/>
    <w:rsid w:val="0556749B"/>
    <w:rsid w:val="05856A44"/>
    <w:rsid w:val="067316DC"/>
    <w:rsid w:val="070A1C6C"/>
    <w:rsid w:val="0722375C"/>
    <w:rsid w:val="077F3B59"/>
    <w:rsid w:val="0886284C"/>
    <w:rsid w:val="08A669E5"/>
    <w:rsid w:val="091E5493"/>
    <w:rsid w:val="09790110"/>
    <w:rsid w:val="0A9B4105"/>
    <w:rsid w:val="0BCB47E8"/>
    <w:rsid w:val="0CEF12CC"/>
    <w:rsid w:val="0D2C789F"/>
    <w:rsid w:val="0D3606B5"/>
    <w:rsid w:val="0DB12654"/>
    <w:rsid w:val="0E180656"/>
    <w:rsid w:val="0E440984"/>
    <w:rsid w:val="0E663223"/>
    <w:rsid w:val="0EA432FA"/>
    <w:rsid w:val="0FBF09FD"/>
    <w:rsid w:val="0FDC28C6"/>
    <w:rsid w:val="10F73472"/>
    <w:rsid w:val="11B6272F"/>
    <w:rsid w:val="11CB55BE"/>
    <w:rsid w:val="12121E25"/>
    <w:rsid w:val="121D1ED2"/>
    <w:rsid w:val="12E23786"/>
    <w:rsid w:val="13D77566"/>
    <w:rsid w:val="145C4EA5"/>
    <w:rsid w:val="14A876EB"/>
    <w:rsid w:val="14F04C5F"/>
    <w:rsid w:val="158853EE"/>
    <w:rsid w:val="159A4029"/>
    <w:rsid w:val="15E157FD"/>
    <w:rsid w:val="169F268E"/>
    <w:rsid w:val="17A66E43"/>
    <w:rsid w:val="17BB2AC0"/>
    <w:rsid w:val="19023475"/>
    <w:rsid w:val="19060198"/>
    <w:rsid w:val="190C24F6"/>
    <w:rsid w:val="19A25010"/>
    <w:rsid w:val="19BB7B3B"/>
    <w:rsid w:val="19C323D1"/>
    <w:rsid w:val="1AEF1F01"/>
    <w:rsid w:val="1B1256BD"/>
    <w:rsid w:val="1BC160D1"/>
    <w:rsid w:val="1C010687"/>
    <w:rsid w:val="1C1F408D"/>
    <w:rsid w:val="1CB37B47"/>
    <w:rsid w:val="1CC34A33"/>
    <w:rsid w:val="1D3A0540"/>
    <w:rsid w:val="1D5D687A"/>
    <w:rsid w:val="1DAD2646"/>
    <w:rsid w:val="1FAB0821"/>
    <w:rsid w:val="1FD367BF"/>
    <w:rsid w:val="208468D3"/>
    <w:rsid w:val="209B0162"/>
    <w:rsid w:val="22100BA9"/>
    <w:rsid w:val="221463B2"/>
    <w:rsid w:val="23470143"/>
    <w:rsid w:val="2382390F"/>
    <w:rsid w:val="23A90F8A"/>
    <w:rsid w:val="254974B0"/>
    <w:rsid w:val="26252F53"/>
    <w:rsid w:val="27A75CB4"/>
    <w:rsid w:val="27D1727A"/>
    <w:rsid w:val="28D56B7C"/>
    <w:rsid w:val="296F3E10"/>
    <w:rsid w:val="29FC21B1"/>
    <w:rsid w:val="2A3664E8"/>
    <w:rsid w:val="2C2F74E9"/>
    <w:rsid w:val="2C3332A0"/>
    <w:rsid w:val="2C537753"/>
    <w:rsid w:val="2CA53AB6"/>
    <w:rsid w:val="2D2672F9"/>
    <w:rsid w:val="2D456D38"/>
    <w:rsid w:val="2DD34F8F"/>
    <w:rsid w:val="2E6F648B"/>
    <w:rsid w:val="2EB60484"/>
    <w:rsid w:val="2F2E00DE"/>
    <w:rsid w:val="30BB5C61"/>
    <w:rsid w:val="320942C7"/>
    <w:rsid w:val="320D6DE7"/>
    <w:rsid w:val="326C07E6"/>
    <w:rsid w:val="32F5767B"/>
    <w:rsid w:val="34163288"/>
    <w:rsid w:val="348873C2"/>
    <w:rsid w:val="35EC1E51"/>
    <w:rsid w:val="36FC5C12"/>
    <w:rsid w:val="37111E73"/>
    <w:rsid w:val="372B59F8"/>
    <w:rsid w:val="37BF4947"/>
    <w:rsid w:val="38062DA8"/>
    <w:rsid w:val="385641F4"/>
    <w:rsid w:val="38A9101C"/>
    <w:rsid w:val="397E2923"/>
    <w:rsid w:val="397E4E90"/>
    <w:rsid w:val="399C171C"/>
    <w:rsid w:val="39DB6926"/>
    <w:rsid w:val="3A2B5076"/>
    <w:rsid w:val="3A3A404E"/>
    <w:rsid w:val="3A6E1583"/>
    <w:rsid w:val="3A8B15C7"/>
    <w:rsid w:val="3B3645A1"/>
    <w:rsid w:val="3B3A2DA5"/>
    <w:rsid w:val="3CC802A7"/>
    <w:rsid w:val="3D153CBA"/>
    <w:rsid w:val="3DEC6B15"/>
    <w:rsid w:val="3E001E47"/>
    <w:rsid w:val="3E2F4E3A"/>
    <w:rsid w:val="3EA375C5"/>
    <w:rsid w:val="400D48C5"/>
    <w:rsid w:val="41262B90"/>
    <w:rsid w:val="41897CF4"/>
    <w:rsid w:val="421234ED"/>
    <w:rsid w:val="423D4795"/>
    <w:rsid w:val="4285434A"/>
    <w:rsid w:val="429A4CAF"/>
    <w:rsid w:val="42B60ED1"/>
    <w:rsid w:val="42F76375"/>
    <w:rsid w:val="43D61155"/>
    <w:rsid w:val="445806A0"/>
    <w:rsid w:val="44CA7A65"/>
    <w:rsid w:val="44FC5F61"/>
    <w:rsid w:val="45A875FB"/>
    <w:rsid w:val="45F83316"/>
    <w:rsid w:val="4735414D"/>
    <w:rsid w:val="47F21B07"/>
    <w:rsid w:val="488D5C12"/>
    <w:rsid w:val="497C4B2D"/>
    <w:rsid w:val="49AF1F9D"/>
    <w:rsid w:val="4B7924D6"/>
    <w:rsid w:val="4B7C27C4"/>
    <w:rsid w:val="4B7D2DA9"/>
    <w:rsid w:val="4BF1516A"/>
    <w:rsid w:val="4C125AB3"/>
    <w:rsid w:val="4C701A84"/>
    <w:rsid w:val="4C962F86"/>
    <w:rsid w:val="4DAC5724"/>
    <w:rsid w:val="4DF24675"/>
    <w:rsid w:val="4F385D8D"/>
    <w:rsid w:val="4F8A3090"/>
    <w:rsid w:val="4FF66DC6"/>
    <w:rsid w:val="502E6D77"/>
    <w:rsid w:val="509B3AEB"/>
    <w:rsid w:val="5138016D"/>
    <w:rsid w:val="51F20780"/>
    <w:rsid w:val="522175CA"/>
    <w:rsid w:val="526F59AC"/>
    <w:rsid w:val="52D27B05"/>
    <w:rsid w:val="52F6374D"/>
    <w:rsid w:val="531D7695"/>
    <w:rsid w:val="54AE6DB4"/>
    <w:rsid w:val="54BA2B87"/>
    <w:rsid w:val="567D562F"/>
    <w:rsid w:val="56C60E87"/>
    <w:rsid w:val="57553E07"/>
    <w:rsid w:val="579A103F"/>
    <w:rsid w:val="57B01D88"/>
    <w:rsid w:val="58660F39"/>
    <w:rsid w:val="58992441"/>
    <w:rsid w:val="58A35045"/>
    <w:rsid w:val="59A85CE2"/>
    <w:rsid w:val="59B478D4"/>
    <w:rsid w:val="5A717D5F"/>
    <w:rsid w:val="5C1D3BCC"/>
    <w:rsid w:val="5CA737EA"/>
    <w:rsid w:val="5D187177"/>
    <w:rsid w:val="5D641CA2"/>
    <w:rsid w:val="5D8939CE"/>
    <w:rsid w:val="5DD11CFF"/>
    <w:rsid w:val="5DFE2706"/>
    <w:rsid w:val="5E2751A9"/>
    <w:rsid w:val="5E6C7060"/>
    <w:rsid w:val="5EA73BAD"/>
    <w:rsid w:val="60D80D91"/>
    <w:rsid w:val="60E05100"/>
    <w:rsid w:val="60E453F3"/>
    <w:rsid w:val="616C5187"/>
    <w:rsid w:val="6199744D"/>
    <w:rsid w:val="62607EFE"/>
    <w:rsid w:val="6282348A"/>
    <w:rsid w:val="629E30A6"/>
    <w:rsid w:val="62FA3629"/>
    <w:rsid w:val="63C32FB2"/>
    <w:rsid w:val="63C6389C"/>
    <w:rsid w:val="63D5375C"/>
    <w:rsid w:val="648E46FE"/>
    <w:rsid w:val="64AA2CE0"/>
    <w:rsid w:val="64E11220"/>
    <w:rsid w:val="64E165EF"/>
    <w:rsid w:val="65B12685"/>
    <w:rsid w:val="664829D6"/>
    <w:rsid w:val="66551193"/>
    <w:rsid w:val="666E46B6"/>
    <w:rsid w:val="67851147"/>
    <w:rsid w:val="68AF4E0D"/>
    <w:rsid w:val="69BF2798"/>
    <w:rsid w:val="6A0422EB"/>
    <w:rsid w:val="6A123ADF"/>
    <w:rsid w:val="6A262B3E"/>
    <w:rsid w:val="6ABD50D4"/>
    <w:rsid w:val="6BF24AC2"/>
    <w:rsid w:val="6D7330D0"/>
    <w:rsid w:val="6E42790C"/>
    <w:rsid w:val="6EE02392"/>
    <w:rsid w:val="6FB6036E"/>
    <w:rsid w:val="6FF31726"/>
    <w:rsid w:val="6FF66494"/>
    <w:rsid w:val="70A527E1"/>
    <w:rsid w:val="711D1A7A"/>
    <w:rsid w:val="71BD4ED0"/>
    <w:rsid w:val="71F25789"/>
    <w:rsid w:val="722679FD"/>
    <w:rsid w:val="7249696C"/>
    <w:rsid w:val="7317763C"/>
    <w:rsid w:val="731C3038"/>
    <w:rsid w:val="73210D1F"/>
    <w:rsid w:val="73B337E7"/>
    <w:rsid w:val="743D4283"/>
    <w:rsid w:val="747C539F"/>
    <w:rsid w:val="751903F9"/>
    <w:rsid w:val="767E7501"/>
    <w:rsid w:val="769660D5"/>
    <w:rsid w:val="76BA1560"/>
    <w:rsid w:val="76DA4D5B"/>
    <w:rsid w:val="773E763F"/>
    <w:rsid w:val="783A506D"/>
    <w:rsid w:val="79A4481A"/>
    <w:rsid w:val="79BC018F"/>
    <w:rsid w:val="79FE61B2"/>
    <w:rsid w:val="7A0D1737"/>
    <w:rsid w:val="7AC67B61"/>
    <w:rsid w:val="7ADA110E"/>
    <w:rsid w:val="7C1A350D"/>
    <w:rsid w:val="7C353782"/>
    <w:rsid w:val="7D25699C"/>
    <w:rsid w:val="7D272303"/>
    <w:rsid w:val="7D2B55B5"/>
    <w:rsid w:val="7E56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/>
      <w:kern w:val="0"/>
      <w:sz w:val="32"/>
      <w:szCs w:val="32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字符"/>
    <w:basedOn w:val="7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fontstyle01"/>
    <w:basedOn w:val="7"/>
    <w:qFormat/>
    <w:uiPriority w:val="0"/>
    <w:rPr>
      <w:rFonts w:hint="eastAsia" w:ascii="黑体" w:hAnsi="黑体" w:eastAsia="黑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780</Words>
  <Characters>4450</Characters>
  <Lines>37</Lines>
  <Paragraphs>10</Paragraphs>
  <TotalTime>25</TotalTime>
  <ScaleCrop>false</ScaleCrop>
  <LinksUpToDate>false</LinksUpToDate>
  <CharactersWithSpaces>5220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2021-01-29T01:49:00Z</dcterms:created>
  <dc:creator>Administrator</dc:creator>
  <cp:lastModifiedBy>Administrator</cp:lastModifiedBy>
  <cp:lastPrinted>2021-11-23T01:18:00Z</cp:lastPrinted>
  <dcterms:modified xsi:type="dcterms:W3CDTF">2021-12-01T02:27:44Z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AB4028243D1E45D5B38A2009CFEA2084</vt:lpwstr>
  </property>
</Properties>
</file>