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</w:p>
    <w:p>
      <w:pPr>
        <w:pStyle w:val="2"/>
        <w:rPr>
          <w:rFonts w:hint="eastAsia" w:ascii="黑体" w:hAnsi="黑体" w:eastAsia="黑体" w:cs="黑体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0"/>
          <w:szCs w:val="40"/>
        </w:rPr>
      </w:pPr>
      <w:r>
        <w:rPr>
          <w:rFonts w:hint="eastAsia" w:ascii="黑体" w:hAnsi="黑体" w:eastAsia="黑体" w:cs="黑体"/>
          <w:sz w:val="40"/>
          <w:szCs w:val="40"/>
          <w:lang w:eastAsia="zh-CN"/>
        </w:rPr>
        <w:t>湖南省“十四五”期间</w:t>
      </w:r>
      <w:r>
        <w:rPr>
          <w:rFonts w:hint="eastAsia" w:ascii="黑体" w:hAnsi="黑体" w:eastAsia="黑体" w:cs="黑体"/>
          <w:sz w:val="40"/>
          <w:szCs w:val="40"/>
        </w:rPr>
        <w:t>享受科技创新进口税收政策的研发机构</w:t>
      </w:r>
      <w:r>
        <w:rPr>
          <w:rFonts w:hint="eastAsia" w:ascii="黑体" w:hAnsi="黑体" w:eastAsia="黑体" w:cs="黑体"/>
          <w:sz w:val="40"/>
          <w:szCs w:val="40"/>
          <w:lang w:eastAsia="zh-CN"/>
        </w:rPr>
        <w:t>（第三批）名单</w:t>
      </w:r>
    </w:p>
    <w:p>
      <w:pPr>
        <w:pStyle w:val="2"/>
        <w:rPr>
          <w:rFonts w:hint="default" w:ascii="Times New Roman" w:hAnsi="Times New Roman" w:cs="Times New Roman"/>
        </w:rPr>
      </w:pPr>
    </w:p>
    <w:tbl>
      <w:tblPr>
        <w:tblStyle w:val="3"/>
        <w:tblW w:w="8779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77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7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湖南博物院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长沙半导体技术与应用创新研究院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7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湖南农业大学长沙现代食品创新研究院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5M2NkZjE4YzgwYTAwM2Y1M2UwMDY3NzZkODk5ODkifQ=="/>
  </w:docVars>
  <w:rsids>
    <w:rsidRoot w:val="00000000"/>
    <w:rsid w:val="6E36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2023-02-13T00:58:29Z</dcterms:created>
  <dc:creator>huangzhen</dc:creator>
  <cp:lastModifiedBy>依旧＆拼搏</cp:lastModifiedBy>
  <dcterms:modified xsi:type="dcterms:W3CDTF">2023-02-13T00:59:06Z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D67412CFA9BC44E78CB8369550E22F51</vt:lpwstr>
  </property>
</Properties>
</file>